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b/>
          <w:color w:val="auto"/>
          <w:sz w:val="48"/>
          <w:szCs w:val="48"/>
          <w:highlight w:val="none"/>
        </w:rPr>
      </w:pPr>
    </w:p>
    <w:p>
      <w:pPr>
        <w:spacing w:line="300" w:lineRule="auto"/>
        <w:jc w:val="center"/>
        <w:rPr>
          <w:rFonts w:hint="eastAsia" w:ascii="宋体" w:hAnsi="宋体"/>
          <w:b/>
          <w:color w:val="auto"/>
          <w:sz w:val="48"/>
          <w:szCs w:val="48"/>
          <w:highlight w:val="none"/>
        </w:rPr>
      </w:pPr>
    </w:p>
    <w:p>
      <w:pPr>
        <w:spacing w:line="300" w:lineRule="auto"/>
        <w:jc w:val="center"/>
        <w:rPr>
          <w:rFonts w:hint="eastAsia" w:ascii="宋体" w:hAnsi="宋体"/>
          <w:b/>
          <w:color w:val="auto"/>
          <w:sz w:val="48"/>
          <w:szCs w:val="48"/>
          <w:highlight w:val="none"/>
        </w:rPr>
      </w:pPr>
    </w:p>
    <w:p>
      <w:pPr>
        <w:spacing w:line="300" w:lineRule="auto"/>
        <w:jc w:val="center"/>
        <w:rPr>
          <w:rFonts w:hint="eastAsia" w:ascii="宋体" w:hAnsi="宋体"/>
          <w:b/>
          <w:color w:val="auto"/>
          <w:sz w:val="48"/>
          <w:szCs w:val="48"/>
          <w:highlight w:val="none"/>
        </w:rPr>
      </w:pPr>
    </w:p>
    <w:p>
      <w:pPr>
        <w:spacing w:line="300" w:lineRule="auto"/>
        <w:jc w:val="center"/>
        <w:rPr>
          <w:rFonts w:hint="eastAsia" w:ascii="宋体" w:hAnsi="宋体"/>
          <w:b/>
          <w:color w:val="auto"/>
          <w:sz w:val="48"/>
          <w:szCs w:val="48"/>
          <w:highlight w:val="none"/>
        </w:rPr>
      </w:pPr>
    </w:p>
    <w:p>
      <w:pPr>
        <w:spacing w:line="300" w:lineRule="auto"/>
        <w:jc w:val="center"/>
        <w:rPr>
          <w:rFonts w:ascii="宋体" w:hAnsi="宋体"/>
          <w:b/>
          <w:color w:val="auto"/>
          <w:sz w:val="48"/>
          <w:szCs w:val="48"/>
          <w:highlight w:val="none"/>
        </w:rPr>
      </w:pPr>
      <w:r>
        <w:rPr>
          <w:rFonts w:hint="eastAsia" w:ascii="宋体" w:hAnsi="宋体"/>
          <w:b/>
          <w:color w:val="auto"/>
          <w:sz w:val="48"/>
          <w:szCs w:val="48"/>
          <w:highlight w:val="none"/>
        </w:rPr>
        <w:t>补充附件</w:t>
      </w:r>
    </w:p>
    <w:p>
      <w:pPr>
        <w:spacing w:line="300" w:lineRule="auto"/>
        <w:jc w:val="center"/>
        <w:rPr>
          <w:rFonts w:hint="eastAsia" w:ascii="宋体" w:hAnsi="宋体"/>
          <w:b/>
          <w:color w:val="auto"/>
          <w:sz w:val="24"/>
          <w:szCs w:val="24"/>
          <w:highlight w:val="none"/>
        </w:rPr>
      </w:pPr>
    </w:p>
    <w:p>
      <w:pPr>
        <w:spacing w:line="300" w:lineRule="auto"/>
        <w:jc w:val="center"/>
        <w:rPr>
          <w:rFonts w:hint="eastAsia" w:ascii="宋体" w:hAnsi="宋体"/>
          <w:b/>
          <w:color w:val="auto"/>
          <w:sz w:val="24"/>
          <w:szCs w:val="24"/>
          <w:highlight w:val="none"/>
        </w:rPr>
      </w:pPr>
    </w:p>
    <w:p>
      <w:pPr>
        <w:spacing w:line="300" w:lineRule="auto"/>
        <w:jc w:val="center"/>
        <w:rPr>
          <w:rFonts w:ascii="宋体" w:hAnsi="宋体"/>
          <w:b/>
          <w:color w:val="auto"/>
          <w:sz w:val="24"/>
          <w:szCs w:val="24"/>
          <w:highlight w:val="none"/>
        </w:rPr>
      </w:pPr>
      <w:r>
        <w:rPr>
          <w:rFonts w:hint="eastAsia" w:ascii="宋体" w:hAnsi="宋体"/>
          <w:b/>
          <w:color w:val="auto"/>
          <w:sz w:val="24"/>
          <w:szCs w:val="24"/>
          <w:highlight w:val="none"/>
        </w:rPr>
        <w:t>注：以下部分的附件</w:t>
      </w:r>
      <w:r>
        <w:rPr>
          <w:rFonts w:hint="eastAsia" w:ascii="宋体" w:hAnsi="宋体"/>
          <w:b/>
          <w:color w:val="auto"/>
          <w:sz w:val="24"/>
          <w:szCs w:val="24"/>
          <w:highlight w:val="none"/>
          <w:lang w:val="en-US" w:eastAsia="zh-CN"/>
        </w:rPr>
        <w:t>投标人</w:t>
      </w:r>
      <w:r>
        <w:rPr>
          <w:rFonts w:hint="eastAsia" w:ascii="宋体" w:hAnsi="宋体"/>
          <w:b/>
          <w:color w:val="auto"/>
          <w:sz w:val="24"/>
          <w:szCs w:val="24"/>
          <w:highlight w:val="none"/>
        </w:rPr>
        <w:t>应后附在投标文件中，作为投标文件的一部分。</w:t>
      </w:r>
    </w:p>
    <w:p>
      <w:pPr>
        <w:pStyle w:val="2"/>
        <w:keepNext w:val="0"/>
        <w:spacing w:before="75" w:after="75" w:line="480" w:lineRule="atLeast"/>
        <w:jc w:val="center"/>
        <w:rPr>
          <w:rFonts w:ascii="宋体" w:hAnsi="宋体" w:eastAsia="宋体" w:cs="宋体"/>
          <w:iCs w:val="0"/>
          <w:color w:val="auto"/>
          <w:highlight w:val="none"/>
          <w:lang w:eastAsia="zh-CN"/>
        </w:rPr>
        <w:sectPr>
          <w:footerReference r:id="rId3" w:type="default"/>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sectPr>
      </w:pPr>
    </w:p>
    <w:p>
      <w:pPr>
        <w:pStyle w:val="2"/>
        <w:keepNext w:val="0"/>
        <w:spacing w:before="75" w:after="75" w:line="480" w:lineRule="atLeast"/>
        <w:jc w:val="center"/>
        <w:rPr>
          <w:rFonts w:ascii="宋体" w:hAnsi="宋体" w:eastAsia="宋体" w:cs="宋体"/>
          <w:color w:val="auto"/>
          <w:highlight w:val="none"/>
          <w:lang w:eastAsia="zh-CN"/>
        </w:rPr>
      </w:pPr>
      <w:r>
        <w:rPr>
          <w:rFonts w:ascii="宋体" w:hAnsi="宋体" w:eastAsia="宋体" w:cs="宋体"/>
          <w:iCs w:val="0"/>
          <w:color w:val="auto"/>
          <w:highlight w:val="none"/>
          <w:lang w:eastAsia="zh-CN"/>
        </w:rPr>
        <w:t>★投标承诺函</w:t>
      </w:r>
    </w:p>
    <w:p>
      <w:pPr>
        <w:widowControl w:val="0"/>
        <w:spacing w:after="200" w:line="360" w:lineRule="auto"/>
        <w:ind w:right="80"/>
        <w:jc w:val="both"/>
        <w:rPr>
          <w:rFonts w:ascii="宋体" w:hAnsi="宋体" w:eastAsia="宋体" w:cs="宋体"/>
          <w:color w:val="auto"/>
          <w:highlight w:val="none"/>
          <w:lang w:eastAsia="zh-CN"/>
        </w:rPr>
      </w:pPr>
    </w:p>
    <w:p>
      <w:pPr>
        <w:widowControl w:val="0"/>
        <w:spacing w:after="200" w:line="240" w:lineRule="auto"/>
        <w:ind w:right="79"/>
        <w:jc w:val="both"/>
        <w:rPr>
          <w:rFonts w:ascii="宋体" w:hAnsi="宋体" w:eastAsia="宋体" w:cs="宋体"/>
          <w:color w:val="auto"/>
          <w:highlight w:val="none"/>
          <w:lang w:eastAsia="zh-CN"/>
        </w:rPr>
      </w:pPr>
      <w:r>
        <w:rPr>
          <w:rFonts w:ascii="宋体" w:hAnsi="宋体" w:eastAsia="宋体" w:cs="宋体"/>
          <w:color w:val="auto"/>
          <w:highlight w:val="none"/>
          <w:lang w:eastAsia="zh-CN"/>
        </w:rPr>
        <w:t>广州农村产权交易所有限公司：</w:t>
      </w:r>
    </w:p>
    <w:p>
      <w:pPr>
        <w:widowControl w:val="0"/>
        <w:spacing w:after="200" w:line="240" w:lineRule="auto"/>
        <w:ind w:right="79"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我方确认收到贵方提供的“</w:t>
      </w:r>
      <w:r>
        <w:rPr>
          <w:rFonts w:hint="eastAsia" w:ascii="宋体" w:hAnsi="宋体" w:cs="宋体"/>
          <w:color w:val="auto"/>
          <w:highlight w:val="none"/>
          <w:lang w:val="en-US" w:eastAsia="zh-CN"/>
        </w:rPr>
        <w:t>2023年</w:t>
      </w:r>
      <w:r>
        <w:rPr>
          <w:rFonts w:hint="default"/>
          <w:color w:val="auto"/>
          <w:highlight w:val="none"/>
          <w:lang w:val="en"/>
        </w:rPr>
        <w:t>广州市本级储备粮承储招标采购项目</w:t>
      </w:r>
      <w:r>
        <w:rPr>
          <w:rFonts w:hint="eastAsia"/>
          <w:color w:val="auto"/>
          <w:highlight w:val="none"/>
          <w:lang w:val="en" w:eastAsia="zh-CN"/>
        </w:rPr>
        <w:t>（</w:t>
      </w:r>
      <w:r>
        <w:rPr>
          <w:rFonts w:hint="eastAsia"/>
          <w:color w:val="auto"/>
          <w:highlight w:val="none"/>
          <w:lang w:val="en-US" w:eastAsia="zh-CN"/>
        </w:rPr>
        <w:t>第3次</w:t>
      </w:r>
      <w:r>
        <w:rPr>
          <w:rFonts w:hint="eastAsia"/>
          <w:color w:val="auto"/>
          <w:highlight w:val="none"/>
          <w:lang w:val="en" w:eastAsia="zh-CN"/>
        </w:rPr>
        <w:t>）</w:t>
      </w:r>
      <w:r>
        <w:rPr>
          <w:rFonts w:ascii="宋体" w:hAnsi="宋体" w:eastAsia="宋体" w:cs="宋体"/>
          <w:color w:val="auto"/>
          <w:highlight w:val="none"/>
          <w:lang w:eastAsia="zh-CN"/>
        </w:rPr>
        <w:t>”（项目编号：</w:t>
      </w:r>
      <w:r>
        <w:rPr>
          <w:rFonts w:hint="eastAsia" w:ascii="宋体" w:hAnsi="宋体" w:eastAsia="宋体" w:cs="宋体"/>
          <w:color w:val="auto"/>
          <w:highlight w:val="none"/>
          <w:lang w:val="en-US" w:eastAsia="zh-CN"/>
        </w:rPr>
        <w:t>GZ2023LS10000</w:t>
      </w:r>
      <w:r>
        <w:rPr>
          <w:rFonts w:hint="eastAsia" w:ascii="宋体" w:hAnsi="宋体" w:cs="宋体"/>
          <w:color w:val="auto"/>
          <w:highlight w:val="none"/>
          <w:lang w:val="en-US" w:eastAsia="zh-CN"/>
        </w:rPr>
        <w:t>3</w:t>
      </w:r>
      <w:r>
        <w:rPr>
          <w:rFonts w:ascii="宋体" w:hAnsi="宋体" w:eastAsia="宋体" w:cs="宋体"/>
          <w:color w:val="auto"/>
          <w:highlight w:val="none"/>
          <w:lang w:eastAsia="zh-CN"/>
        </w:rPr>
        <w:t>）的招标文件，已完全理解招标文件的所有内容。决定投标本项目，据此我方承诺如下：</w:t>
      </w:r>
    </w:p>
    <w:p>
      <w:pPr>
        <w:widowControl w:val="0"/>
        <w:spacing w:after="200" w:line="240" w:lineRule="auto"/>
        <w:ind w:right="79"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一、我方的投标文件在投标截止日后90天（日历天）内保持有效，如中标，有效期将延至本项目《广州市政府采购合同》执行期满日为止。</w:t>
      </w:r>
    </w:p>
    <w:p>
      <w:pPr>
        <w:widowControl w:val="0"/>
        <w:spacing w:after="200" w:line="240" w:lineRule="auto"/>
        <w:ind w:right="79"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二、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widowControl w:val="0"/>
        <w:spacing w:after="200" w:line="240" w:lineRule="auto"/>
        <w:ind w:right="79"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三、我方声明投标文件及所提供的一切资料均真实无误及有效。由于我方提供资料不实而造成的责任和后果由我方承担。我方同意按照贵方可能提出的要求，提供与投标有关的任何其它数据或信息。</w:t>
      </w:r>
    </w:p>
    <w:p>
      <w:pPr>
        <w:widowControl w:val="0"/>
        <w:spacing w:after="200" w:line="240" w:lineRule="auto"/>
        <w:ind w:right="79"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四、我方理解贵方不一定接受最低报价的投标。</w:t>
      </w:r>
    </w:p>
    <w:p>
      <w:pPr>
        <w:widowControl w:val="0"/>
        <w:spacing w:after="200" w:line="240" w:lineRule="auto"/>
        <w:ind w:right="79"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五、我方接受按采购人委托向贵方支付交易服务费，如果中标，保证履行投标文件中承诺的全部责任和义务，切实履行《广州市政府采购合同》中的全部条款，投标报价已包含交易服务费（交易服务费按照招标文件第</w:t>
      </w:r>
      <w:r>
        <w:rPr>
          <w:rFonts w:hint="eastAsia" w:ascii="宋体" w:hAnsi="宋体" w:eastAsia="宋体" w:cs="宋体"/>
          <w:color w:val="auto"/>
          <w:highlight w:val="none"/>
          <w:lang w:eastAsia="zh-CN"/>
        </w:rPr>
        <w:t>三</w:t>
      </w:r>
      <w:r>
        <w:rPr>
          <w:rFonts w:ascii="宋体" w:hAnsi="宋体" w:eastAsia="宋体" w:cs="宋体"/>
          <w:color w:val="auto"/>
          <w:highlight w:val="none"/>
          <w:lang w:eastAsia="zh-CN"/>
        </w:rPr>
        <w:t>章投标人须知中所列收费标准计算），并承诺向贵方足额支付。</w:t>
      </w:r>
    </w:p>
    <w:p>
      <w:pPr>
        <w:widowControl w:val="0"/>
        <w:spacing w:after="200" w:line="240" w:lineRule="auto"/>
        <w:ind w:right="79" w:firstLine="480"/>
        <w:jc w:val="both"/>
        <w:rPr>
          <w:rFonts w:ascii="宋体" w:hAnsi="宋体" w:eastAsia="宋体" w:cs="宋体"/>
          <w:color w:val="auto"/>
          <w:highlight w:val="none"/>
          <w:lang w:eastAsia="zh-CN"/>
        </w:rPr>
      </w:pPr>
      <w:r>
        <w:rPr>
          <w:rFonts w:hint="eastAsia" w:ascii="宋体" w:hAnsi="宋体" w:cs="宋体"/>
          <w:color w:val="auto"/>
          <w:highlight w:val="none"/>
          <w:lang w:val="en-US" w:eastAsia="zh-CN"/>
        </w:rPr>
        <w:t>六、我方承诺具有</w:t>
      </w:r>
      <w:r>
        <w:rPr>
          <w:rFonts w:hint="eastAsia" w:ascii="宋体" w:hAnsi="宋体" w:eastAsia="宋体" w:cs="宋体"/>
          <w:color w:val="auto"/>
          <w:highlight w:val="none"/>
          <w:lang w:eastAsia="zh-CN"/>
        </w:rPr>
        <w:t>履行合同所必需的设备和专业技术能力</w:t>
      </w:r>
      <w:r>
        <w:rPr>
          <w:rFonts w:hint="eastAsia" w:ascii="宋体" w:hAnsi="宋体" w:cs="宋体"/>
          <w:color w:val="auto"/>
          <w:highlight w:val="none"/>
          <w:lang w:eastAsia="zh-CN"/>
        </w:rPr>
        <w:t>。</w:t>
      </w:r>
    </w:p>
    <w:p>
      <w:pPr>
        <w:widowControl w:val="0"/>
        <w:spacing w:after="200" w:line="240" w:lineRule="auto"/>
        <w:ind w:right="79" w:firstLine="480"/>
        <w:jc w:val="both"/>
        <w:rPr>
          <w:rFonts w:ascii="宋体" w:hAnsi="宋体" w:eastAsia="宋体" w:cs="宋体"/>
          <w:color w:val="auto"/>
          <w:highlight w:val="none"/>
          <w:lang w:eastAsia="zh-CN"/>
        </w:rPr>
      </w:pPr>
      <w:r>
        <w:rPr>
          <w:rFonts w:hint="eastAsia" w:ascii="宋体" w:hAnsi="宋体" w:cs="宋体"/>
          <w:color w:val="auto"/>
          <w:highlight w:val="none"/>
          <w:lang w:val="en-US" w:eastAsia="zh-CN"/>
        </w:rPr>
        <w:t>七</w:t>
      </w:r>
      <w:r>
        <w:rPr>
          <w:rFonts w:ascii="宋体" w:hAnsi="宋体" w:eastAsia="宋体" w:cs="宋体"/>
          <w:color w:val="auto"/>
          <w:highlight w:val="none"/>
          <w:lang w:eastAsia="zh-CN"/>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widowControl w:val="0"/>
        <w:spacing w:after="200" w:line="240" w:lineRule="auto"/>
        <w:ind w:right="79" w:firstLine="480"/>
        <w:jc w:val="both"/>
        <w:rPr>
          <w:rFonts w:hint="eastAsia" w:ascii="宋体" w:hAnsi="宋体" w:cs="宋体"/>
          <w:color w:val="auto"/>
          <w:highlight w:val="none"/>
          <w:lang w:eastAsia="zh-CN"/>
        </w:rPr>
      </w:pPr>
      <w:r>
        <w:rPr>
          <w:rFonts w:hint="eastAsia" w:ascii="宋体" w:hAnsi="宋体" w:cs="宋体"/>
          <w:b w:val="0"/>
          <w:bCs w:val="0"/>
          <w:color w:val="auto"/>
          <w:highlight w:val="none"/>
          <w:lang w:val="en-US" w:eastAsia="zh-CN"/>
        </w:rPr>
        <w:t>八</w:t>
      </w:r>
      <w:r>
        <w:rPr>
          <w:rFonts w:hint="default" w:ascii="宋体" w:hAnsi="宋体" w:eastAsia="宋体" w:cs="宋体"/>
          <w:b w:val="0"/>
          <w:bCs w:val="0"/>
          <w:color w:val="auto"/>
          <w:highlight w:val="none"/>
          <w:lang w:eastAsia="zh-CN"/>
        </w:rPr>
        <w:t>、</w:t>
      </w:r>
      <w:r>
        <w:rPr>
          <w:rFonts w:hint="eastAsia" w:ascii="宋体" w:hAnsi="宋体" w:cs="宋体"/>
          <w:color w:val="auto"/>
          <w:highlight w:val="none"/>
          <w:lang w:eastAsia="zh-CN"/>
        </w:rPr>
        <w:t>我方理解项目兼投兼中规则，本项目按采购包的顺序进行评审，每个采购包按照评标总得分由高到低的顺序及提交的《投标承诺函》中的空仓仓容推荐中标候选人。</w:t>
      </w:r>
      <w:r>
        <w:rPr>
          <w:rFonts w:hint="eastAsia" w:ascii="宋体" w:hAnsi="宋体" w:cs="宋体"/>
          <w:color w:val="auto"/>
          <w:highlight w:val="none"/>
          <w:lang w:val="en-US" w:eastAsia="zh-CN"/>
        </w:rPr>
        <w:t>我方</w:t>
      </w:r>
      <w:r>
        <w:rPr>
          <w:rFonts w:hint="eastAsia" w:ascii="宋体" w:hAnsi="宋体" w:cs="宋体"/>
          <w:color w:val="auto"/>
          <w:highlight w:val="none"/>
          <w:lang w:eastAsia="zh-CN"/>
        </w:rPr>
        <w:t>每被推荐为采购包的第一中标候选人时，则在其空仓仓容中减去对应数量，若</w:t>
      </w:r>
      <w:r>
        <w:rPr>
          <w:rFonts w:hint="eastAsia" w:ascii="宋体" w:hAnsi="宋体" w:cs="宋体"/>
          <w:color w:val="auto"/>
          <w:highlight w:val="none"/>
          <w:lang w:val="en-US" w:eastAsia="zh-CN"/>
        </w:rPr>
        <w:t>我方</w:t>
      </w:r>
      <w:r>
        <w:rPr>
          <w:rFonts w:hint="eastAsia" w:ascii="宋体" w:hAnsi="宋体" w:cs="宋体"/>
          <w:color w:val="auto"/>
          <w:highlight w:val="none"/>
          <w:lang w:eastAsia="zh-CN"/>
        </w:rPr>
        <w:t>剩余空仓仓容小于采购包承储数量时，则不会被推选为该采购包的第一中标候选人。</w:t>
      </w:r>
    </w:p>
    <w:p>
      <w:pPr>
        <w:widowControl w:val="0"/>
        <w:spacing w:after="200" w:line="240" w:lineRule="auto"/>
        <w:ind w:right="79" w:firstLine="480"/>
        <w:jc w:val="both"/>
        <w:rPr>
          <w:rFonts w:ascii="宋体" w:hAnsi="宋体" w:eastAsia="宋体" w:cs="宋体"/>
          <w:color w:val="auto"/>
          <w:highlight w:val="none"/>
          <w:lang w:eastAsia="zh-CN"/>
        </w:rPr>
      </w:pPr>
      <w:r>
        <w:rPr>
          <w:rFonts w:hint="eastAsia" w:ascii="宋体" w:hAnsi="宋体" w:cs="宋体"/>
          <w:color w:val="auto"/>
          <w:highlight w:val="none"/>
          <w:lang w:val="en-US" w:eastAsia="zh-CN"/>
        </w:rPr>
        <w:t>九</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我方</w:t>
      </w:r>
      <w:r>
        <w:rPr>
          <w:rFonts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储备粮库总仓容为</w:t>
      </w:r>
      <w:r>
        <w:rPr>
          <w:rFonts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吨，</w:t>
      </w:r>
      <w:r>
        <w:rPr>
          <w:rFonts w:hint="eastAsia" w:ascii="宋体" w:hAnsi="宋体" w:cs="宋体"/>
          <w:color w:val="auto"/>
          <w:highlight w:val="none"/>
          <w:lang w:val="en-US" w:eastAsia="zh-CN"/>
        </w:rPr>
        <w:t>小</w:t>
      </w:r>
      <w:r>
        <w:rPr>
          <w:rFonts w:hint="eastAsia" w:ascii="宋体" w:hAnsi="宋体" w:cs="宋体"/>
          <w:color w:val="auto"/>
          <w:highlight w:val="none"/>
          <w:u w:val="none"/>
          <w:lang w:val="en-US" w:eastAsia="zh-CN"/>
        </w:rPr>
        <w:t>麦</w:t>
      </w:r>
      <w:r>
        <w:rPr>
          <w:rFonts w:ascii="宋体" w:hAnsi="宋体" w:eastAsia="宋体" w:cs="宋体"/>
          <w:color w:val="auto"/>
          <w:highlight w:val="none"/>
          <w:lang w:eastAsia="zh-CN"/>
        </w:rPr>
        <w:t>储存方式为</w:t>
      </w:r>
      <w:r>
        <w:rPr>
          <w:rFonts w:ascii="宋体" w:hAnsi="宋体" w:eastAsia="宋体" w:cs="宋体"/>
          <w:color w:val="auto"/>
          <w:highlight w:val="none"/>
          <w:u w:val="single"/>
          <w:lang w:eastAsia="zh-CN"/>
        </w:rPr>
        <w:t>散装/包装储存</w:t>
      </w:r>
      <w:r>
        <w:rPr>
          <w:rFonts w:ascii="宋体" w:hAnsi="宋体" w:eastAsia="宋体" w:cs="宋体"/>
          <w:color w:val="auto"/>
          <w:highlight w:val="none"/>
          <w:lang w:eastAsia="zh-CN"/>
        </w:rPr>
        <w:t>（请投标人自行选择）</w:t>
      </w:r>
      <w:r>
        <w:rPr>
          <w:rFonts w:hint="eastAsia" w:ascii="宋体" w:hAnsi="宋体" w:cs="宋体"/>
          <w:color w:val="auto"/>
          <w:highlight w:val="none"/>
          <w:lang w:eastAsia="zh-CN"/>
        </w:rPr>
        <w:t>。</w:t>
      </w:r>
    </w:p>
    <w:p>
      <w:pPr>
        <w:widowControl w:val="0"/>
        <w:spacing w:after="200" w:line="240" w:lineRule="auto"/>
        <w:ind w:right="79" w:firstLine="48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我方可承储：</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吨小麦。</w:t>
      </w:r>
    </w:p>
    <w:p>
      <w:pPr>
        <w:widowControl w:val="0"/>
        <w:spacing w:after="200" w:line="240" w:lineRule="auto"/>
        <w:ind w:right="79" w:firstLine="48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（请投标人根据自身情况填写。）</w:t>
      </w:r>
    </w:p>
    <w:p>
      <w:pPr>
        <w:widowControl w:val="0"/>
        <w:spacing w:after="200" w:line="240" w:lineRule="auto"/>
        <w:ind w:right="79" w:firstLine="480"/>
        <w:jc w:val="both"/>
        <w:rPr>
          <w:rFonts w:ascii="宋体" w:hAnsi="宋体" w:eastAsia="宋体" w:cs="宋体"/>
          <w:color w:val="auto"/>
          <w:highlight w:val="none"/>
          <w:lang w:eastAsia="zh-CN"/>
        </w:rPr>
      </w:pPr>
      <w:r>
        <w:rPr>
          <w:rFonts w:hint="eastAsia" w:ascii="宋体" w:hAnsi="宋体" w:cs="宋体"/>
          <w:color w:val="auto"/>
          <w:highlight w:val="none"/>
          <w:lang w:val="en-US" w:eastAsia="zh-CN"/>
        </w:rPr>
        <w:t>十</w:t>
      </w:r>
      <w:r>
        <w:rPr>
          <w:rFonts w:ascii="宋体" w:hAnsi="宋体" w:eastAsia="宋体" w:cs="宋体"/>
          <w:color w:val="auto"/>
          <w:highlight w:val="none"/>
          <w:lang w:eastAsia="zh-CN"/>
        </w:rPr>
        <w:t>、我方</w:t>
      </w:r>
      <w:r>
        <w:rPr>
          <w:rFonts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ascii="宋体" w:hAnsi="宋体" w:eastAsia="宋体" w:cs="宋体"/>
          <w:color w:val="auto"/>
          <w:highlight w:val="none"/>
          <w:u w:val="single"/>
          <w:lang w:eastAsia="zh-CN"/>
        </w:rPr>
        <w:t xml:space="preserve">  </w:t>
      </w:r>
      <w:r>
        <w:rPr>
          <w:rFonts w:ascii="宋体" w:hAnsi="宋体" w:eastAsia="宋体" w:cs="宋体"/>
          <w:color w:val="auto"/>
          <w:highlight w:val="none"/>
          <w:lang w:eastAsia="zh-CN"/>
        </w:rPr>
        <w:t xml:space="preserve">储备粮库近3年内有/无（请投标人自行选择）发生市级认定的安全生产事故。 </w:t>
      </w:r>
    </w:p>
    <w:p>
      <w:pPr>
        <w:widowControl w:val="0"/>
        <w:spacing w:after="200" w:line="240" w:lineRule="auto"/>
        <w:ind w:right="79" w:firstLine="480"/>
        <w:jc w:val="both"/>
        <w:rPr>
          <w:rFonts w:hint="eastAsia" w:ascii="宋体" w:hAnsi="宋体" w:eastAsia="宋体" w:cs="宋体"/>
          <w:color w:val="auto"/>
          <w:highlight w:val="none"/>
          <w:lang w:eastAsia="zh-CN"/>
        </w:rPr>
      </w:pPr>
      <w:r>
        <w:rPr>
          <w:rFonts w:ascii="宋体" w:hAnsi="宋体" w:eastAsia="宋体" w:cs="宋体"/>
          <w:color w:val="auto"/>
          <w:highlight w:val="none"/>
          <w:lang w:eastAsia="zh-CN"/>
        </w:rPr>
        <w:t>十</w:t>
      </w:r>
      <w:r>
        <w:rPr>
          <w:rFonts w:hint="eastAsia" w:ascii="宋体" w:hAnsi="宋体" w:cs="宋体"/>
          <w:color w:val="auto"/>
          <w:highlight w:val="none"/>
          <w:lang w:val="en-US" w:eastAsia="zh-CN"/>
        </w:rPr>
        <w:t>一</w:t>
      </w:r>
      <w:r>
        <w:rPr>
          <w:rFonts w:ascii="宋体" w:hAnsi="宋体" w:eastAsia="宋体" w:cs="宋体"/>
          <w:color w:val="auto"/>
          <w:highlight w:val="none"/>
          <w:lang w:eastAsia="zh-CN"/>
        </w:rPr>
        <w:t>、我方接受采购人保留在确认中标粮仓承储资格前依据投标承诺对中标粮仓进行现场投标承诺核查的权力。即评标结束后，采购人在评标报告确定的中标候选人名单中按顺序对中标粮仓进行现场投标承诺核查，最终确定中标人。</w:t>
      </w:r>
    </w:p>
    <w:p>
      <w:pPr>
        <w:widowControl w:val="0"/>
        <w:spacing w:after="200" w:line="240" w:lineRule="auto"/>
        <w:ind w:right="79" w:firstLine="480"/>
        <w:jc w:val="both"/>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十二</w:t>
      </w:r>
      <w:r>
        <w:rPr>
          <w:rFonts w:hint="eastAsia" w:ascii="宋体" w:hAnsi="宋体" w:eastAsia="宋体" w:cs="宋体"/>
          <w:color w:val="auto"/>
          <w:highlight w:val="none"/>
          <w:lang w:eastAsia="zh-CN"/>
        </w:rPr>
        <w:t>、我方承诺我方</w:t>
      </w:r>
      <w:r>
        <w:rPr>
          <w:rFonts w:hint="eastAsia" w:ascii="宋体" w:hAnsi="宋体" w:eastAsia="宋体" w:cs="宋体"/>
          <w:color w:val="auto"/>
          <w:highlight w:val="none"/>
        </w:rPr>
        <w:t>信用等级</w:t>
      </w:r>
      <w:r>
        <w:rPr>
          <w:rFonts w:hint="eastAsia" w:ascii="宋体" w:hAnsi="宋体" w:eastAsia="宋体" w:cs="宋体"/>
          <w:color w:val="auto"/>
          <w:highlight w:val="none"/>
          <w:lang w:eastAsia="zh-CN"/>
        </w:rPr>
        <w:t>在</w:t>
      </w:r>
      <w:r>
        <w:rPr>
          <w:rFonts w:hint="eastAsia" w:ascii="宋体" w:hAnsi="宋体" w:eastAsia="宋体" w:cs="宋体"/>
          <w:color w:val="auto"/>
          <w:highlight w:val="none"/>
        </w:rPr>
        <w:t>中国农业发展银行</w:t>
      </w:r>
      <w:r>
        <w:rPr>
          <w:rFonts w:hint="eastAsia" w:ascii="宋体" w:hAnsi="宋体" w:eastAsia="宋体" w:cs="宋体"/>
          <w:color w:val="auto"/>
          <w:highlight w:val="none"/>
          <w:lang w:eastAsia="zh-CN"/>
        </w:rPr>
        <w:t>评级中</w:t>
      </w:r>
      <w:r>
        <w:rPr>
          <w:rFonts w:hint="eastAsia" w:ascii="宋体" w:hAnsi="宋体" w:eastAsia="宋体" w:cs="宋体"/>
          <w:color w:val="auto"/>
          <w:highlight w:val="none"/>
        </w:rPr>
        <w:t>达到</w:t>
      </w:r>
      <w:r>
        <w:rPr>
          <w:rFonts w:hint="eastAsia" w:ascii="宋体" w:hAnsi="宋体" w:cs="宋体"/>
          <w:color w:val="auto"/>
          <w:highlight w:val="none"/>
          <w:lang w:val="en-US" w:eastAsia="zh-CN"/>
        </w:rPr>
        <w:t>L14</w:t>
      </w:r>
      <w:r>
        <w:rPr>
          <w:rFonts w:hint="eastAsia" w:ascii="宋体" w:hAnsi="宋体" w:eastAsia="宋体" w:cs="宋体"/>
          <w:color w:val="auto"/>
          <w:highlight w:val="none"/>
        </w:rPr>
        <w:t>级或以上</w:t>
      </w:r>
      <w:r>
        <w:rPr>
          <w:rFonts w:hint="eastAsia" w:ascii="宋体" w:hAnsi="宋体" w:eastAsia="宋体" w:cs="宋体"/>
          <w:color w:val="auto"/>
          <w:highlight w:val="none"/>
          <w:lang w:eastAsia="zh-CN"/>
        </w:rPr>
        <w:t>。</w:t>
      </w:r>
    </w:p>
    <w:p>
      <w:pPr>
        <w:widowControl w:val="0"/>
        <w:spacing w:after="200" w:line="240" w:lineRule="auto"/>
        <w:ind w:right="79" w:firstLine="480"/>
        <w:jc w:val="both"/>
        <w:rPr>
          <w:rFonts w:hint="default" w:ascii="宋体" w:hAnsi="宋体" w:cs="宋体"/>
          <w:color w:val="auto"/>
          <w:highlight w:val="none"/>
          <w:lang w:val="en-US" w:eastAsia="zh-CN"/>
        </w:rPr>
      </w:pPr>
      <w:r>
        <w:rPr>
          <w:rFonts w:hint="eastAsia" w:ascii="宋体" w:hAnsi="宋体" w:cs="宋体"/>
          <w:color w:val="auto"/>
          <w:highlight w:val="none"/>
          <w:lang w:eastAsia="zh-CN"/>
        </w:rPr>
        <w:t>十</w:t>
      </w:r>
      <w:r>
        <w:rPr>
          <w:rFonts w:hint="eastAsia" w:ascii="宋体" w:hAnsi="宋体" w:cs="宋体"/>
          <w:color w:val="auto"/>
          <w:highlight w:val="none"/>
          <w:lang w:val="en-US" w:eastAsia="zh-CN"/>
        </w:rPr>
        <w:t>三</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我方承诺我方</w:t>
      </w:r>
      <w:r>
        <w:rPr>
          <w:rFonts w:hint="eastAsia"/>
          <w:color w:val="auto"/>
          <w:highlight w:val="none"/>
          <w:lang w:eastAsia="zh-CN"/>
        </w:rPr>
        <w:t>在</w:t>
      </w:r>
      <w:r>
        <w:rPr>
          <w:rFonts w:hint="eastAsia"/>
          <w:color w:val="auto"/>
          <w:highlight w:val="none"/>
          <w:lang w:val="en-US" w:eastAsia="zh-CN"/>
        </w:rPr>
        <w:t>2021-2023年承储市本级储备粮过程中，管理水平先进，在国家、省及市、区粮食行业管理部门日常检查及专项检查中，</w:t>
      </w:r>
      <w:r>
        <w:rPr>
          <w:rFonts w:ascii="宋体" w:hAnsi="宋体" w:eastAsia="宋体" w:cs="宋体"/>
          <w:color w:val="auto"/>
          <w:highlight w:val="none"/>
          <w:lang w:eastAsia="zh-CN"/>
        </w:rPr>
        <w:t>有/无（请投标人自行选择）</w:t>
      </w:r>
      <w:r>
        <w:rPr>
          <w:rFonts w:hint="eastAsia"/>
          <w:color w:val="auto"/>
          <w:highlight w:val="none"/>
          <w:lang w:val="en-US" w:eastAsia="zh-CN"/>
        </w:rPr>
        <w:t>出现轮换（入库）超期、库存不达标等情况，存在上述情况</w:t>
      </w:r>
      <w:r>
        <w:rPr>
          <w:rFonts w:hint="eastAsia"/>
          <w:color w:val="auto"/>
          <w:highlight w:val="none"/>
          <w:u w:val="single"/>
          <w:lang w:val="en-US" w:eastAsia="zh-CN"/>
        </w:rPr>
        <w:t xml:space="preserve">   </w:t>
      </w:r>
      <w:r>
        <w:rPr>
          <w:rFonts w:hint="eastAsia"/>
          <w:color w:val="auto"/>
          <w:highlight w:val="none"/>
          <w:lang w:val="en-US" w:eastAsia="zh-CN"/>
        </w:rPr>
        <w:t>次；</w:t>
      </w:r>
      <w:r>
        <w:rPr>
          <w:rFonts w:ascii="宋体" w:hAnsi="宋体" w:eastAsia="宋体" w:cs="宋体"/>
          <w:color w:val="auto"/>
          <w:highlight w:val="none"/>
          <w:lang w:eastAsia="zh-CN"/>
        </w:rPr>
        <w:t>有/无（请投标人自行选择）</w:t>
      </w:r>
      <w:r>
        <w:rPr>
          <w:rFonts w:hint="eastAsia" w:ascii="宋体" w:hAnsi="宋体" w:cs="宋体"/>
          <w:color w:val="auto"/>
          <w:highlight w:val="none"/>
          <w:lang w:val="en-US" w:eastAsia="zh-CN"/>
        </w:rPr>
        <w:t>出现</w:t>
      </w:r>
      <w:r>
        <w:rPr>
          <w:rFonts w:hint="eastAsia"/>
          <w:color w:val="auto"/>
          <w:highlight w:val="none"/>
          <w:lang w:val="en-US" w:eastAsia="zh-CN"/>
        </w:rPr>
        <w:t>过被各级粮食行业管理部门发函催办、提醒、通报等情况。存在上述情况</w:t>
      </w:r>
      <w:r>
        <w:rPr>
          <w:rFonts w:hint="eastAsia"/>
          <w:color w:val="auto"/>
          <w:highlight w:val="none"/>
          <w:u w:val="single"/>
          <w:lang w:val="en-US" w:eastAsia="zh-CN"/>
        </w:rPr>
        <w:t xml:space="preserve">   </w:t>
      </w:r>
      <w:r>
        <w:rPr>
          <w:rFonts w:hint="eastAsia"/>
          <w:color w:val="auto"/>
          <w:highlight w:val="none"/>
          <w:lang w:val="en-US" w:eastAsia="zh-CN"/>
        </w:rPr>
        <w:t>次。</w:t>
      </w:r>
      <w:r>
        <w:rPr>
          <w:rFonts w:ascii="宋体" w:hAnsi="宋体" w:eastAsia="宋体" w:cs="宋体"/>
          <w:color w:val="auto"/>
          <w:highlight w:val="none"/>
          <w:lang w:eastAsia="zh-CN"/>
        </w:rPr>
        <w:t>有/无（请投标人自行选择）</w:t>
      </w:r>
      <w:r>
        <w:rPr>
          <w:rFonts w:hint="eastAsia"/>
          <w:color w:val="auto"/>
          <w:highlight w:val="none"/>
          <w:lang w:val="en-US" w:eastAsia="zh-CN"/>
        </w:rPr>
        <w:t>出现重大质量问题、投标违约等严重情况。</w:t>
      </w:r>
    </w:p>
    <w:p>
      <w:pPr>
        <w:widowControl w:val="0"/>
        <w:spacing w:after="200" w:line="240" w:lineRule="auto"/>
        <w:ind w:right="79" w:firstLine="480"/>
        <w:jc w:val="both"/>
        <w:rPr>
          <w:rFonts w:ascii="宋体" w:hAnsi="宋体" w:eastAsia="宋体" w:cs="宋体"/>
          <w:color w:val="auto"/>
          <w:highlight w:val="none"/>
          <w:lang w:eastAsia="zh-CN"/>
        </w:rPr>
      </w:pPr>
      <w:r>
        <w:rPr>
          <w:rFonts w:hint="eastAsia" w:ascii="宋体" w:hAnsi="宋体" w:cs="宋体"/>
          <w:color w:val="auto"/>
          <w:highlight w:val="none"/>
          <w:lang w:val="en-US" w:eastAsia="zh-CN"/>
        </w:rPr>
        <w:t>十四、</w:t>
      </w:r>
      <w:r>
        <w:rPr>
          <w:rFonts w:ascii="宋体" w:hAnsi="宋体" w:eastAsia="宋体" w:cs="宋体"/>
          <w:color w:val="auto"/>
          <w:highlight w:val="none"/>
          <w:lang w:eastAsia="zh-CN"/>
        </w:rPr>
        <w:t>所有与本项目有关的函件请发往下列地址：</w:t>
      </w:r>
    </w:p>
    <w:tbl>
      <w:tblPr>
        <w:tblStyle w:val="5"/>
        <w:tblW w:w="8712" w:type="dxa"/>
        <w:tblInd w:w="46" w:type="dxa"/>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6"/>
        <w:gridCol w:w="1739"/>
        <w:gridCol w:w="1739"/>
        <w:gridCol w:w="1739"/>
        <w:gridCol w:w="1739"/>
      </w:tblGrid>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756" w:type="dxa"/>
            <w:tcBorders>
              <w:bottom w:val="single" w:color="666666" w:sz="2" w:space="0"/>
              <w:right w:val="single" w:color="666666" w:sz="2" w:space="0"/>
            </w:tcBorders>
            <w:shd w:val="clear" w:color="auto" w:fill="FFFFFF"/>
            <w:noWrap w:val="0"/>
            <w:tcMar>
              <w:top w:w="38" w:type="dxa"/>
              <w:left w:w="38" w:type="dxa"/>
              <w:bottom w:w="34" w:type="dxa"/>
              <w:right w:w="34" w:type="dxa"/>
            </w:tcMar>
            <w:vAlign w:val="center"/>
          </w:tcPr>
          <w:p>
            <w:pPr>
              <w:widowControl w:val="0"/>
              <w:spacing w:after="200" w:line="360" w:lineRule="auto"/>
              <w:ind w:right="24"/>
              <w:jc w:val="both"/>
              <w:rPr>
                <w:rFonts w:ascii="宋体" w:hAnsi="宋体" w:eastAsia="宋体" w:cs="宋体"/>
                <w:color w:val="auto"/>
                <w:highlight w:val="none"/>
              </w:rPr>
            </w:pPr>
            <w:r>
              <w:rPr>
                <w:rFonts w:ascii="宋体" w:hAnsi="宋体" w:eastAsia="宋体" w:cs="宋体"/>
                <w:color w:val="auto"/>
                <w:highlight w:val="none"/>
              </w:rPr>
              <w:t>地址（邮编）</w:t>
            </w:r>
          </w:p>
        </w:tc>
        <w:tc>
          <w:tcPr>
            <w:tcW w:w="3478" w:type="dxa"/>
            <w:gridSpan w:val="2"/>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spacing w:after="200" w:line="360" w:lineRule="auto"/>
              <w:ind w:right="24"/>
              <w:jc w:val="both"/>
              <w:rPr>
                <w:rFonts w:ascii="宋体" w:hAnsi="宋体" w:eastAsia="宋体" w:cs="宋体"/>
                <w:color w:val="auto"/>
                <w:highlight w:val="none"/>
              </w:rPr>
            </w:pPr>
          </w:p>
        </w:tc>
        <w:tc>
          <w:tcPr>
            <w:tcW w:w="1739"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spacing w:after="200" w:line="360" w:lineRule="auto"/>
              <w:ind w:right="24"/>
              <w:jc w:val="both"/>
              <w:rPr>
                <w:rFonts w:ascii="宋体" w:hAnsi="宋体" w:eastAsia="宋体" w:cs="宋体"/>
                <w:color w:val="auto"/>
                <w:highlight w:val="none"/>
              </w:rPr>
            </w:pPr>
            <w:r>
              <w:rPr>
                <w:rFonts w:ascii="宋体" w:hAnsi="宋体" w:eastAsia="宋体" w:cs="宋体"/>
                <w:color w:val="auto"/>
                <w:highlight w:val="none"/>
              </w:rPr>
              <w:t>传真</w:t>
            </w:r>
          </w:p>
        </w:tc>
        <w:tc>
          <w:tcPr>
            <w:tcW w:w="1739"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spacing w:after="200" w:line="360" w:lineRule="auto"/>
              <w:ind w:right="24"/>
              <w:jc w:val="both"/>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756" w:type="dxa"/>
            <w:tcBorders>
              <w:top w:val="single" w:color="666666" w:sz="2" w:space="0"/>
              <w:right w:val="single" w:color="666666" w:sz="2" w:space="0"/>
            </w:tcBorders>
            <w:shd w:val="clear" w:color="auto" w:fill="FFFFFF"/>
            <w:noWrap w:val="0"/>
            <w:tcMar>
              <w:top w:w="34" w:type="dxa"/>
              <w:left w:w="38" w:type="dxa"/>
              <w:bottom w:w="38" w:type="dxa"/>
              <w:right w:w="34" w:type="dxa"/>
            </w:tcMar>
            <w:vAlign w:val="center"/>
          </w:tcPr>
          <w:p>
            <w:pPr>
              <w:widowControl w:val="0"/>
              <w:spacing w:after="200" w:line="360" w:lineRule="auto"/>
              <w:ind w:right="24"/>
              <w:jc w:val="both"/>
              <w:rPr>
                <w:rFonts w:ascii="宋体" w:hAnsi="宋体" w:eastAsia="宋体" w:cs="宋体"/>
                <w:color w:val="auto"/>
                <w:highlight w:val="none"/>
              </w:rPr>
            </w:pPr>
            <w:r>
              <w:rPr>
                <w:rFonts w:ascii="宋体" w:hAnsi="宋体" w:eastAsia="宋体" w:cs="宋体"/>
                <w:color w:val="auto"/>
                <w:highlight w:val="none"/>
              </w:rPr>
              <w:t>电话、手机</w:t>
            </w:r>
          </w:p>
        </w:tc>
        <w:tc>
          <w:tcPr>
            <w:tcW w:w="1739" w:type="dxa"/>
            <w:tcBorders>
              <w:top w:val="single" w:color="666666" w:sz="2" w:space="0"/>
              <w:left w:val="single" w:color="666666" w:sz="2" w:space="0"/>
              <w:right w:val="single" w:color="666666" w:sz="2" w:space="0"/>
            </w:tcBorders>
            <w:shd w:val="clear" w:color="auto" w:fill="FFFFFF"/>
            <w:noWrap w:val="0"/>
            <w:tcMar>
              <w:top w:w="34" w:type="dxa"/>
              <w:left w:w="34" w:type="dxa"/>
              <w:bottom w:w="38" w:type="dxa"/>
              <w:right w:w="34" w:type="dxa"/>
            </w:tcMar>
            <w:vAlign w:val="center"/>
          </w:tcPr>
          <w:p>
            <w:pPr>
              <w:widowControl w:val="0"/>
              <w:spacing w:after="200" w:line="360" w:lineRule="auto"/>
              <w:ind w:right="24"/>
              <w:jc w:val="both"/>
              <w:rPr>
                <w:rFonts w:ascii="宋体" w:hAnsi="宋体" w:eastAsia="宋体" w:cs="宋体"/>
                <w:color w:val="auto"/>
                <w:highlight w:val="none"/>
              </w:rPr>
            </w:pPr>
          </w:p>
        </w:tc>
        <w:tc>
          <w:tcPr>
            <w:tcW w:w="1739" w:type="dxa"/>
            <w:tcBorders>
              <w:top w:val="single" w:color="666666" w:sz="2" w:space="0"/>
              <w:left w:val="single" w:color="666666" w:sz="2" w:space="0"/>
              <w:right w:val="single" w:color="666666" w:sz="2" w:space="0"/>
            </w:tcBorders>
            <w:shd w:val="clear" w:color="auto" w:fill="FFFFFF"/>
            <w:noWrap w:val="0"/>
            <w:tcMar>
              <w:top w:w="34" w:type="dxa"/>
              <w:left w:w="34" w:type="dxa"/>
              <w:bottom w:w="38" w:type="dxa"/>
              <w:right w:w="34" w:type="dxa"/>
            </w:tcMar>
            <w:vAlign w:val="center"/>
          </w:tcPr>
          <w:p>
            <w:pPr>
              <w:widowControl w:val="0"/>
              <w:spacing w:after="200" w:line="360" w:lineRule="auto"/>
              <w:ind w:right="24"/>
              <w:jc w:val="both"/>
              <w:rPr>
                <w:rFonts w:ascii="宋体" w:hAnsi="宋体" w:eastAsia="宋体" w:cs="宋体"/>
                <w:color w:val="auto"/>
                <w:highlight w:val="none"/>
              </w:rPr>
            </w:pPr>
            <w:r>
              <w:rPr>
                <w:rFonts w:ascii="宋体" w:hAnsi="宋体" w:eastAsia="宋体" w:cs="宋体"/>
                <w:color w:val="auto"/>
                <w:highlight w:val="none"/>
              </w:rPr>
              <w:t>联系人（职务）</w:t>
            </w:r>
          </w:p>
        </w:tc>
        <w:tc>
          <w:tcPr>
            <w:tcW w:w="3478" w:type="dxa"/>
            <w:gridSpan w:val="2"/>
            <w:tcBorders>
              <w:top w:val="single" w:color="666666" w:sz="2" w:space="0"/>
              <w:left w:val="single" w:color="666666" w:sz="2" w:space="0"/>
              <w:right w:val="single" w:color="666666" w:sz="2" w:space="0"/>
            </w:tcBorders>
            <w:shd w:val="clear" w:color="auto" w:fill="FFFFFF"/>
            <w:noWrap w:val="0"/>
            <w:tcMar>
              <w:top w:w="34" w:type="dxa"/>
              <w:left w:w="34" w:type="dxa"/>
              <w:bottom w:w="38" w:type="dxa"/>
              <w:right w:w="34" w:type="dxa"/>
            </w:tcMar>
            <w:vAlign w:val="center"/>
          </w:tcPr>
          <w:p>
            <w:pPr>
              <w:widowControl w:val="0"/>
              <w:spacing w:after="200" w:line="360" w:lineRule="auto"/>
              <w:ind w:right="24"/>
              <w:jc w:val="both"/>
              <w:rPr>
                <w:rFonts w:ascii="宋体" w:hAnsi="宋体" w:eastAsia="宋体" w:cs="宋体"/>
                <w:color w:val="auto"/>
                <w:highlight w:val="none"/>
              </w:rPr>
            </w:pPr>
          </w:p>
        </w:tc>
      </w:tr>
    </w:tbl>
    <w:p>
      <w:pPr>
        <w:widowControl w:val="0"/>
        <w:spacing w:after="200" w:line="360" w:lineRule="auto"/>
        <w:ind w:right="80" w:firstLine="4080"/>
        <w:jc w:val="both"/>
        <w:rPr>
          <w:rFonts w:ascii="宋体" w:hAnsi="宋体" w:eastAsia="宋体" w:cs="宋体"/>
          <w:color w:val="auto"/>
          <w:highlight w:val="none"/>
        </w:rPr>
      </w:pPr>
    </w:p>
    <w:p>
      <w:pPr>
        <w:widowControl w:val="0"/>
        <w:spacing w:after="200" w:line="360" w:lineRule="auto"/>
        <w:ind w:right="80" w:firstLine="4080"/>
        <w:jc w:val="both"/>
        <w:rPr>
          <w:rFonts w:ascii="宋体" w:hAnsi="宋体" w:eastAsia="宋体" w:cs="宋体"/>
          <w:color w:val="auto"/>
          <w:highlight w:val="none"/>
          <w:lang w:eastAsia="zh-CN"/>
        </w:rPr>
      </w:pPr>
      <w:r>
        <w:rPr>
          <w:rFonts w:ascii="宋体" w:hAnsi="宋体" w:eastAsia="宋体" w:cs="宋体"/>
          <w:color w:val="auto"/>
          <w:highlight w:val="none"/>
          <w:lang w:eastAsia="zh-CN"/>
        </w:rPr>
        <w:t>投标人名称（单位公章）：</w:t>
      </w:r>
    </w:p>
    <w:p>
      <w:pPr>
        <w:widowControl w:val="0"/>
        <w:spacing w:after="200" w:line="360" w:lineRule="auto"/>
        <w:ind w:right="80" w:firstLine="1920"/>
        <w:jc w:val="both"/>
        <w:rPr>
          <w:rFonts w:ascii="宋体" w:hAnsi="宋体" w:eastAsia="宋体" w:cs="宋体"/>
          <w:color w:val="auto"/>
          <w:highlight w:val="none"/>
          <w:lang w:eastAsia="zh-CN"/>
        </w:rPr>
      </w:pPr>
      <w:r>
        <w:rPr>
          <w:rFonts w:ascii="宋体" w:hAnsi="宋体" w:eastAsia="宋体" w:cs="宋体"/>
          <w:color w:val="auto"/>
          <w:highlight w:val="none"/>
          <w:lang w:eastAsia="zh-CN"/>
        </w:rPr>
        <w:t>法定代表人/负责人/委托代理人（签字或盖章）：</w:t>
      </w:r>
    </w:p>
    <w:p>
      <w:pPr>
        <w:widowControl w:val="0"/>
        <w:spacing w:after="200" w:line="360" w:lineRule="auto"/>
        <w:ind w:right="80" w:firstLine="4080"/>
        <w:jc w:val="right"/>
        <w:rPr>
          <w:rFonts w:ascii="宋体" w:hAnsi="宋体" w:eastAsia="宋体" w:cs="宋体"/>
          <w:color w:val="auto"/>
          <w:highlight w:val="none"/>
          <w:lang w:eastAsia="zh-CN"/>
        </w:rPr>
      </w:pPr>
      <w:r>
        <w:rPr>
          <w:rFonts w:ascii="宋体" w:hAnsi="宋体" w:eastAsia="宋体" w:cs="宋体"/>
          <w:color w:val="auto"/>
          <w:highlight w:val="none"/>
          <w:lang w:eastAsia="zh-CN"/>
        </w:rPr>
        <w:t>日期：    年   月   日</w:t>
      </w:r>
    </w:p>
    <w:p>
      <w:pPr>
        <w:widowControl w:val="0"/>
        <w:spacing w:line="360" w:lineRule="auto"/>
        <w:rPr>
          <w:rFonts w:ascii="宋体" w:hAnsi="宋体" w:eastAsia="宋体" w:cs="宋体"/>
          <w:color w:val="auto"/>
          <w:highlight w:val="none"/>
          <w:lang w:eastAsia="zh-CN"/>
        </w:rPr>
      </w:pPr>
      <w:r>
        <w:rPr>
          <w:rFonts w:ascii="宋体" w:hAnsi="宋体" w:eastAsia="宋体" w:cs="宋体"/>
          <w:color w:val="auto"/>
          <w:highlight w:val="none"/>
          <w:lang w:eastAsia="zh-CN"/>
        </w:rPr>
        <w:t>说明：本格式文件内容不得擅自删改。</w:t>
      </w:r>
    </w:p>
    <w:p>
      <w:pPr>
        <w:rPr>
          <w:rFonts w:ascii="宋体" w:hAnsi="宋体" w:eastAsia="宋体" w:cs="宋体"/>
          <w:color w:val="auto"/>
          <w:highlight w:val="none"/>
          <w:lang w:eastAsia="zh-CN"/>
        </w:rPr>
      </w:pPr>
      <w:r>
        <w:rPr>
          <w:rFonts w:ascii="宋体" w:hAnsi="宋体" w:eastAsia="宋体" w:cs="宋体"/>
          <w:color w:val="auto"/>
          <w:highlight w:val="none"/>
          <w:lang w:eastAsia="zh-CN"/>
        </w:rPr>
        <w:br w:type="page"/>
      </w:r>
    </w:p>
    <w:p>
      <w:pPr>
        <w:pStyle w:val="2"/>
        <w:keepNext w:val="0"/>
        <w:spacing w:before="75" w:after="75" w:line="480" w:lineRule="atLeast"/>
        <w:jc w:val="center"/>
        <w:rPr>
          <w:rFonts w:ascii="宋体" w:hAnsi="宋体" w:eastAsia="宋体" w:cs="宋体"/>
          <w:color w:val="auto"/>
          <w:highlight w:val="none"/>
          <w:lang w:eastAsia="zh-CN"/>
        </w:rPr>
      </w:pPr>
      <w:bookmarkStart w:id="0" w:name="_Toc96944816"/>
      <w:r>
        <w:rPr>
          <w:rFonts w:ascii="宋体" w:hAnsi="宋体" w:eastAsia="宋体" w:cs="宋体"/>
          <w:iCs w:val="0"/>
          <w:color w:val="auto"/>
          <w:highlight w:val="none"/>
          <w:lang w:eastAsia="zh-CN"/>
        </w:rPr>
        <w:t>总公司投标授权书（分支机构适用）</w:t>
      </w:r>
      <w:bookmarkEnd w:id="0"/>
    </w:p>
    <w:p>
      <w:pPr>
        <w:widowControl w:val="0"/>
        <w:spacing w:after="200" w:line="360" w:lineRule="auto"/>
        <w:jc w:val="both"/>
        <w:rPr>
          <w:rFonts w:ascii="宋体" w:hAnsi="宋体" w:eastAsia="宋体" w:cs="宋体"/>
          <w:color w:val="auto"/>
          <w:sz w:val="28"/>
          <w:szCs w:val="28"/>
          <w:highlight w:val="none"/>
          <w:lang w:eastAsia="zh-CN"/>
        </w:rPr>
      </w:pPr>
    </w:p>
    <w:p>
      <w:pPr>
        <w:widowControl w:val="0"/>
        <w:spacing w:after="200" w:line="360" w:lineRule="auto"/>
        <w:jc w:val="both"/>
        <w:rPr>
          <w:rFonts w:ascii="宋体" w:hAnsi="宋体" w:eastAsia="宋体" w:cs="宋体"/>
          <w:color w:val="auto"/>
          <w:highlight w:val="none"/>
          <w:lang w:eastAsia="zh-CN"/>
        </w:rPr>
      </w:pPr>
      <w:r>
        <w:rPr>
          <w:rFonts w:hint="eastAsia" w:ascii="宋体" w:hAnsi="宋体" w:eastAsia="宋体" w:cs="宋体"/>
          <w:b/>
          <w:bCs/>
          <w:color w:val="auto"/>
          <w:highlight w:val="none"/>
          <w:lang w:eastAsia="zh-CN"/>
        </w:rPr>
        <w:t>广州市储备粮管理中心</w:t>
      </w:r>
      <w:r>
        <w:rPr>
          <w:rFonts w:ascii="宋体" w:hAnsi="宋体" w:eastAsia="宋体" w:cs="宋体"/>
          <w:b/>
          <w:bCs/>
          <w:color w:val="auto"/>
          <w:highlight w:val="none"/>
          <w:lang w:eastAsia="zh-CN"/>
        </w:rPr>
        <w:t>/广州农村产权交易所有限公司：</w:t>
      </w:r>
    </w:p>
    <w:p>
      <w:pPr>
        <w:widowControl w:val="0"/>
        <w:spacing w:after="200" w:line="360" w:lineRule="auto"/>
        <w:ind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(法定代表人姓名）系（总公司/总所名称）的法定代表人，现授权 （分支机构名称）为我方合法委托代理人参加“</w:t>
      </w:r>
      <w:r>
        <w:rPr>
          <w:rFonts w:hint="default" w:ascii="宋体" w:hAnsi="宋体" w:eastAsia="宋体" w:cs="宋体"/>
          <w:color w:val="auto"/>
          <w:highlight w:val="none"/>
          <w:shd w:val="clear" w:color="auto" w:fill="FFFFFF"/>
          <w:lang w:val="en"/>
        </w:rPr>
        <w:t>广州市本级储备粮承储招标采购项目</w:t>
      </w:r>
      <w:r>
        <w:rPr>
          <w:rFonts w:ascii="宋体" w:hAnsi="宋体" w:eastAsia="宋体" w:cs="宋体"/>
          <w:color w:val="auto"/>
          <w:highlight w:val="none"/>
          <w:lang w:eastAsia="zh-CN"/>
        </w:rPr>
        <w:t>”的投标活动。该分公司的授权代表在本投标活动过程中所签署的一切文件和处理与之有关的一切事务，均代表我方的行为，与本人的行为具有同等的法律效力。我方将承担授权代表行为的一切法律责任后果。</w:t>
      </w:r>
    </w:p>
    <w:p>
      <w:pPr>
        <w:widowControl w:val="0"/>
        <w:spacing w:after="200" w:line="360" w:lineRule="auto"/>
        <w:ind w:firstLine="480"/>
        <w:jc w:val="both"/>
        <w:rPr>
          <w:rFonts w:ascii="宋体" w:hAnsi="宋体" w:eastAsia="宋体" w:cs="宋体"/>
          <w:color w:val="auto"/>
          <w:highlight w:val="none"/>
          <w:lang w:eastAsia="zh-CN"/>
        </w:rPr>
      </w:pPr>
    </w:p>
    <w:p>
      <w:pPr>
        <w:widowControl w:val="0"/>
        <w:spacing w:after="200" w:line="360" w:lineRule="auto"/>
        <w:ind w:firstLine="480"/>
        <w:jc w:val="both"/>
        <w:rPr>
          <w:rFonts w:ascii="宋体" w:hAnsi="宋体" w:eastAsia="宋体" w:cs="宋体"/>
          <w:color w:val="auto"/>
          <w:highlight w:val="none"/>
          <w:lang w:eastAsia="zh-CN"/>
        </w:rPr>
      </w:pPr>
    </w:p>
    <w:p>
      <w:pPr>
        <w:widowControl w:val="0"/>
        <w:spacing w:after="200" w:line="360" w:lineRule="auto"/>
        <w:ind w:firstLine="480"/>
        <w:jc w:val="both"/>
        <w:rPr>
          <w:rFonts w:ascii="宋体" w:hAnsi="宋体" w:eastAsia="宋体" w:cs="宋体"/>
          <w:color w:val="auto"/>
          <w:highlight w:val="none"/>
          <w:lang w:eastAsia="zh-CN"/>
        </w:rPr>
      </w:pPr>
      <w:r>
        <w:rPr>
          <w:rFonts w:ascii="宋体" w:hAnsi="宋体" w:eastAsia="宋体" w:cs="宋体"/>
          <w:color w:val="auto"/>
          <w:highlight w:val="none"/>
          <w:lang w:eastAsia="zh-CN"/>
        </w:rPr>
        <w:t>本授权书于  年  月  日签字生效，代理人无转委托权。</w:t>
      </w:r>
    </w:p>
    <w:p>
      <w:pPr>
        <w:widowControl w:val="0"/>
        <w:spacing w:after="200" w:line="360" w:lineRule="auto"/>
        <w:jc w:val="both"/>
        <w:rPr>
          <w:rFonts w:ascii="宋体" w:hAnsi="宋体" w:eastAsia="宋体" w:cs="宋体"/>
          <w:color w:val="auto"/>
          <w:sz w:val="28"/>
          <w:szCs w:val="28"/>
          <w:highlight w:val="none"/>
          <w:lang w:eastAsia="zh-CN"/>
        </w:rPr>
      </w:pPr>
    </w:p>
    <w:p>
      <w:pPr>
        <w:widowControl w:val="0"/>
        <w:spacing w:after="200" w:line="360" w:lineRule="auto"/>
        <w:jc w:val="both"/>
        <w:rPr>
          <w:rFonts w:ascii="宋体" w:hAnsi="宋体" w:eastAsia="宋体" w:cs="宋体"/>
          <w:color w:val="auto"/>
          <w:sz w:val="28"/>
          <w:szCs w:val="28"/>
          <w:highlight w:val="none"/>
          <w:lang w:eastAsia="zh-CN"/>
        </w:rPr>
      </w:pPr>
    </w:p>
    <w:p>
      <w:pPr>
        <w:widowControl w:val="0"/>
        <w:spacing w:after="200" w:line="360" w:lineRule="auto"/>
        <w:ind w:left="4532"/>
        <w:jc w:val="both"/>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 授权人：（总公司/总所名称）（盖章）</w:t>
      </w:r>
    </w:p>
    <w:p>
      <w:pPr>
        <w:widowControl w:val="0"/>
        <w:spacing w:after="200" w:line="360" w:lineRule="auto"/>
        <w:ind w:left="4532"/>
        <w:jc w:val="both"/>
        <w:rPr>
          <w:rFonts w:ascii="宋体" w:hAnsi="宋体" w:eastAsia="宋体" w:cs="宋体"/>
          <w:color w:val="auto"/>
          <w:highlight w:val="none"/>
          <w:lang w:eastAsia="zh-CN"/>
        </w:rPr>
      </w:pPr>
      <w:r>
        <w:rPr>
          <w:rFonts w:ascii="宋体" w:hAnsi="宋体" w:eastAsia="宋体" w:cs="宋体"/>
          <w:color w:val="auto"/>
          <w:highlight w:val="none"/>
          <w:lang w:eastAsia="zh-CN"/>
        </w:rPr>
        <w:t xml:space="preserve"> 法定代表人：      （签字）</w:t>
      </w:r>
    </w:p>
    <w:p>
      <w:pPr>
        <w:widowControl w:val="0"/>
        <w:spacing w:line="360" w:lineRule="auto"/>
        <w:jc w:val="right"/>
        <w:rPr>
          <w:rFonts w:ascii="宋体" w:hAnsi="宋体" w:eastAsia="宋体" w:cs="宋体"/>
          <w:color w:val="auto"/>
          <w:highlight w:val="none"/>
          <w:lang w:eastAsia="zh-CN"/>
        </w:rPr>
        <w:sectPr>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sectPr>
      </w:pPr>
      <w:r>
        <w:rPr>
          <w:rFonts w:ascii="宋体" w:hAnsi="宋体" w:eastAsia="宋体" w:cs="宋体"/>
          <w:color w:val="auto"/>
          <w:highlight w:val="none"/>
          <w:lang w:eastAsia="zh-CN"/>
        </w:rPr>
        <w:t xml:space="preserve">        XXXX年  XX  月  XX  日</w:t>
      </w:r>
    </w:p>
    <w:p>
      <w:pPr>
        <w:pStyle w:val="2"/>
        <w:keepNext w:val="0"/>
        <w:spacing w:before="75" w:after="75" w:line="480" w:lineRule="atLeast"/>
        <w:jc w:val="center"/>
        <w:rPr>
          <w:rFonts w:ascii="宋体" w:hAnsi="宋体" w:eastAsia="宋体" w:cs="宋体"/>
          <w:color w:val="auto"/>
          <w:highlight w:val="none"/>
          <w:lang w:eastAsia="zh-CN"/>
        </w:rPr>
      </w:pPr>
      <w:bookmarkStart w:id="1" w:name="_Toc96944817"/>
      <w:r>
        <w:rPr>
          <w:rFonts w:ascii="宋体" w:hAnsi="宋体" w:eastAsia="宋体" w:cs="宋体"/>
          <w:iCs w:val="0"/>
          <w:color w:val="auto"/>
          <w:highlight w:val="none"/>
          <w:lang w:eastAsia="zh-CN"/>
        </w:rPr>
        <w:t>投标人综合实力情况表</w:t>
      </w:r>
      <w:r>
        <w:rPr>
          <w:rFonts w:hint="eastAsia" w:ascii="宋体" w:hAnsi="宋体" w:eastAsia="宋体" w:cs="宋体"/>
          <w:iCs w:val="0"/>
          <w:color w:val="auto"/>
          <w:highlight w:val="none"/>
          <w:lang w:eastAsia="zh-CN"/>
        </w:rPr>
        <w:t>（</w:t>
      </w:r>
      <w:r>
        <w:rPr>
          <w:rFonts w:hint="eastAsia" w:ascii="宋体" w:hAnsi="宋体" w:eastAsia="宋体" w:cs="宋体"/>
          <w:iCs w:val="0"/>
          <w:color w:val="auto"/>
          <w:highlight w:val="none"/>
        </w:rPr>
        <w:t>普通小麦</w:t>
      </w:r>
      <w:r>
        <w:rPr>
          <w:rFonts w:hint="eastAsia" w:ascii="宋体" w:hAnsi="宋体" w:eastAsia="宋体" w:cs="宋体"/>
          <w:iCs w:val="0"/>
          <w:color w:val="auto"/>
          <w:highlight w:val="none"/>
          <w:lang w:eastAsia="zh-CN"/>
        </w:rPr>
        <w:t>）</w:t>
      </w:r>
    </w:p>
    <w:p>
      <w:pPr>
        <w:widowControl w:val="0"/>
        <w:spacing w:after="200" w:line="360" w:lineRule="auto"/>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投标</w:t>
      </w:r>
      <w:r>
        <w:rPr>
          <w:rFonts w:ascii="宋体" w:hAnsi="宋体" w:eastAsia="宋体" w:cs="宋体"/>
          <w:b/>
          <w:bCs/>
          <w:color w:val="auto"/>
          <w:highlight w:val="none"/>
          <w:lang w:eastAsia="zh-CN"/>
        </w:rPr>
        <w:t>粮库名称：</w:t>
      </w:r>
    </w:p>
    <w:p>
      <w:pPr>
        <w:pStyle w:val="4"/>
        <w:rPr>
          <w:color w:val="auto"/>
          <w:highlight w:val="none"/>
          <w:lang w:eastAsia="zh-CN"/>
        </w:rPr>
      </w:pPr>
      <w:r>
        <w:rPr>
          <w:rFonts w:hint="eastAsia" w:ascii="宋体" w:hAnsi="宋体" w:eastAsia="宋体" w:cs="宋体"/>
          <w:b/>
          <w:bCs/>
          <w:color w:val="auto"/>
          <w:highlight w:val="none"/>
          <w:lang w:eastAsia="zh-CN"/>
        </w:rPr>
        <w:t>技术部分响应情况表</w:t>
      </w:r>
    </w:p>
    <w:tbl>
      <w:tblPr>
        <w:tblStyle w:val="5"/>
        <w:tblW w:w="5000" w:type="pct"/>
        <w:tblInd w:w="46" w:type="dxa"/>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93"/>
        <w:gridCol w:w="2173"/>
        <w:gridCol w:w="2173"/>
        <w:gridCol w:w="2173"/>
      </w:tblGrid>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tcBorders>
              <w:bottom w:val="single" w:color="666666" w:sz="2" w:space="0"/>
              <w:right w:val="single" w:color="666666" w:sz="2" w:space="0"/>
            </w:tcBorders>
            <w:shd w:val="clear" w:color="auto" w:fill="FFFFFF"/>
            <w:noWrap w:val="0"/>
            <w:tcMar>
              <w:top w:w="38"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评审项目</w:t>
            </w:r>
          </w:p>
        </w:tc>
        <w:tc>
          <w:tcPr>
            <w:tcW w:w="2173"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具体内容</w:t>
            </w:r>
          </w:p>
        </w:tc>
        <w:tc>
          <w:tcPr>
            <w:tcW w:w="2173"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投标人</w:t>
            </w:r>
          </w:p>
          <w:p>
            <w:pPr>
              <w:widowControl w:val="0"/>
              <w:jc w:val="center"/>
              <w:rPr>
                <w:rFonts w:ascii="宋体" w:hAnsi="宋体" w:eastAsia="宋体" w:cs="宋体"/>
                <w:color w:val="auto"/>
                <w:highlight w:val="none"/>
              </w:rPr>
            </w:pPr>
            <w:r>
              <w:rPr>
                <w:rFonts w:ascii="宋体" w:hAnsi="宋体" w:eastAsia="宋体" w:cs="宋体"/>
                <w:color w:val="auto"/>
                <w:highlight w:val="none"/>
              </w:rPr>
              <w:t>响应情况</w:t>
            </w:r>
          </w:p>
        </w:tc>
        <w:tc>
          <w:tcPr>
            <w:tcW w:w="2173"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需提供的证明资料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仓库新建建成时间或改建完成时间（有多个仓库且建成或改建时间不同的，以最新建成或改建完成时间为准）</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default" w:ascii="宋体" w:hAnsi="宋体" w:eastAsia="宋体" w:cs="宋体"/>
                <w:color w:val="auto"/>
                <w:highlight w:val="none"/>
                <w:lang w:val="en"/>
              </w:rPr>
            </w:pPr>
            <w:r>
              <w:rPr>
                <w:rFonts w:ascii="宋体" w:hAnsi="宋体" w:cs="宋体"/>
                <w:color w:val="auto"/>
                <w:highlight w:val="none"/>
                <w:lang w:val="en"/>
              </w:rPr>
              <w:t>2010年及以后</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仓库建筑图纸等佐证材料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2000年至2009年</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1999年以前</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陆路</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道路可通行20吨或以上车辆</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照片、地图</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道路只可通行小于</w:t>
            </w:r>
            <w:r>
              <w:rPr>
                <w:rFonts w:hint="eastAsia" w:ascii="宋体" w:hAnsi="宋体" w:cs="宋体"/>
                <w:color w:val="auto"/>
                <w:highlight w:val="none"/>
                <w:lang w:val="en-US" w:eastAsia="zh-CN"/>
              </w:rPr>
              <w:t>2</w:t>
            </w:r>
            <w:r>
              <w:rPr>
                <w:rFonts w:ascii="宋体" w:hAnsi="宋体" w:eastAsia="宋体" w:cs="宋体"/>
                <w:color w:val="auto"/>
                <w:highlight w:val="none"/>
              </w:rPr>
              <w:t>0吨车辆</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水路或专用铁路</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粮库范围内有专用码头泊位</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照片、地图</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粮库100米范围内有专用铁路</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color w:val="auto"/>
                <w:highlight w:val="none"/>
              </w:rPr>
              <w:t>无</w:t>
            </w:r>
            <w:r>
              <w:rPr>
                <w:rFonts w:hint="eastAsia"/>
                <w:color w:val="auto"/>
                <w:highlight w:val="none"/>
                <w:lang w:eastAsia="zh-CN"/>
              </w:rPr>
              <w:t>专用</w:t>
            </w:r>
            <w:r>
              <w:rPr>
                <w:color w:val="auto"/>
                <w:highlight w:val="none"/>
              </w:rPr>
              <w:t>码头泊位</w:t>
            </w:r>
            <w:r>
              <w:rPr>
                <w:rFonts w:hint="eastAsia"/>
                <w:color w:val="auto"/>
                <w:highlight w:val="none"/>
                <w:lang w:eastAsia="zh-CN"/>
              </w:rPr>
              <w:t>或专用</w:t>
            </w:r>
            <w:r>
              <w:rPr>
                <w:color w:val="auto"/>
                <w:highlight w:val="none"/>
              </w:rPr>
              <w:t>铁路</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装卸设施</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配备地磅计量系统</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相关设施购置发票或购买合同</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配备机械输送设备</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配备机械装卸设备</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无</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保粮设施</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default" w:ascii="宋体" w:hAnsi="宋体" w:eastAsia="宋体" w:cs="宋体"/>
                <w:color w:val="auto"/>
                <w:highlight w:val="none"/>
                <w:lang w:val="en"/>
              </w:rPr>
            </w:pPr>
            <w:r>
              <w:rPr>
                <w:rFonts w:ascii="宋体" w:hAnsi="宋体" w:eastAsia="宋体" w:cs="宋体"/>
                <w:color w:val="auto"/>
                <w:highlight w:val="none"/>
              </w:rPr>
              <w:t>配备粮仓专用空调</w:t>
            </w:r>
            <w:r>
              <w:rPr>
                <w:rFonts w:hint="eastAsia" w:ascii="宋体" w:hAnsi="宋体" w:eastAsia="宋体" w:cs="宋体"/>
                <w:color w:val="auto"/>
                <w:highlight w:val="none"/>
                <w:lang w:val="en" w:eastAsia="zh-CN"/>
              </w:rPr>
              <w:t>、</w:t>
            </w:r>
            <w:r>
              <w:rPr>
                <w:rFonts w:ascii="宋体" w:hAnsi="宋体" w:eastAsia="宋体" w:cs="宋体"/>
                <w:color w:val="auto"/>
                <w:highlight w:val="none"/>
              </w:rPr>
              <w:t>电子测温</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相关设备购置发票或购买合同，粮仓专用空调要符合《广州市低温粮库建设管理规程（试行）》</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default" w:ascii="宋体" w:hAnsi="宋体" w:eastAsia="宋体" w:cs="宋体"/>
                <w:color w:val="auto"/>
                <w:sz w:val="21"/>
                <w:szCs w:val="24"/>
                <w:highlight w:val="none"/>
              </w:rPr>
              <w:t>配备粮仓专用空调，无电子测温设备</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default" w:ascii="宋体" w:hAnsi="宋体" w:eastAsia="宋体" w:cs="宋体"/>
                <w:color w:val="auto"/>
                <w:sz w:val="21"/>
                <w:szCs w:val="24"/>
                <w:highlight w:val="none"/>
              </w:rPr>
              <w:t>配备非粮仓专用空调、电子测温设备</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default" w:ascii="宋体" w:hAnsi="宋体" w:eastAsia="宋体" w:cs="宋体"/>
                <w:color w:val="auto"/>
                <w:sz w:val="21"/>
                <w:szCs w:val="24"/>
                <w:highlight w:val="none"/>
              </w:rPr>
              <w:t>配备电子测温设备，无粮仓空调</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无配备电子测温、粮仓专用空调</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color w:val="auto"/>
                <w:highlight w:val="none"/>
              </w:rPr>
              <w:t>防化设施</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设有专门防化室、配备粮食质量及品质检验设备、配备粮食卫生指标检测装备（重金属铅和镉）</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防化室照片、检验设备、检测装备购置发票或购买合同</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设有专门防化室、配备粮食质量及品质检验设备，无配备粮食卫生指标检测装备（重金属铅和镉）</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没有专门防化室和按要求配备粮食检验设备</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color w:val="auto"/>
                <w:highlight w:val="none"/>
              </w:rPr>
              <w:t>防化人员</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有国家、省、市认定资质粮食防化或保管资格人员</w:t>
            </w:r>
            <w:r>
              <w:rPr>
                <w:rFonts w:hint="default" w:ascii="宋体" w:hAnsi="宋体" w:cs="宋体"/>
                <w:color w:val="auto"/>
                <w:highlight w:val="none"/>
                <w:lang w:val="en"/>
              </w:rPr>
              <w:t>5</w:t>
            </w:r>
            <w:r>
              <w:rPr>
                <w:rFonts w:ascii="宋体" w:hAnsi="宋体" w:eastAsia="宋体" w:cs="宋体"/>
                <w:color w:val="auto"/>
                <w:highlight w:val="none"/>
              </w:rPr>
              <w:t>人（含）以上</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提供职业资格证书复印件，提供</w:t>
            </w:r>
            <w:r>
              <w:rPr>
                <w:rFonts w:hint="eastAsia" w:ascii="宋体" w:hAnsi="宋体" w:cs="宋体"/>
                <w:color w:val="auto"/>
                <w:highlight w:val="none"/>
                <w:lang w:eastAsia="zh-CN"/>
              </w:rPr>
              <w:t>县（区）级以上社保部门出具的</w:t>
            </w:r>
            <w:r>
              <w:rPr>
                <w:rFonts w:hint="eastAsia" w:ascii="宋体" w:hAnsi="宋体" w:eastAsia="宋体" w:cs="宋体"/>
                <w:color w:val="auto"/>
                <w:highlight w:val="none"/>
                <w:lang w:eastAsia="zh-CN"/>
              </w:rPr>
              <w:t>相关人员在本单位</w:t>
            </w:r>
            <w:r>
              <w:rPr>
                <w:rFonts w:hint="eastAsia" w:ascii="宋体" w:hAnsi="宋体" w:cs="宋体"/>
                <w:color w:val="auto"/>
                <w:highlight w:val="none"/>
                <w:lang w:eastAsia="zh-CN"/>
              </w:rPr>
              <w:t>近</w:t>
            </w:r>
            <w:r>
              <w:rPr>
                <w:rFonts w:hint="eastAsia" w:ascii="宋体" w:hAnsi="宋体" w:eastAsia="宋体" w:cs="宋体"/>
                <w:color w:val="auto"/>
                <w:highlight w:val="none"/>
                <w:lang w:val="en-US" w:eastAsia="zh-CN"/>
              </w:rPr>
              <w:t>6个月以上社保参保证明材料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有国家、省、市认定资质粮食防化或保管资格人员3</w:t>
            </w:r>
            <w:r>
              <w:rPr>
                <w:rFonts w:hint="default" w:ascii="宋体" w:hAnsi="宋体" w:cs="宋体"/>
                <w:color w:val="auto"/>
                <w:highlight w:val="none"/>
                <w:lang w:val="en"/>
              </w:rPr>
              <w:t>-4</w:t>
            </w:r>
            <w:r>
              <w:rPr>
                <w:rFonts w:ascii="宋体" w:hAnsi="宋体" w:eastAsia="宋体" w:cs="宋体"/>
                <w:color w:val="auto"/>
                <w:highlight w:val="none"/>
              </w:rPr>
              <w:t>人</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有国家、省、市认定资质粮食防化或保管资格人员</w:t>
            </w:r>
            <w:r>
              <w:rPr>
                <w:rFonts w:hint="default" w:ascii="宋体" w:hAnsi="宋体" w:cs="宋体"/>
                <w:color w:val="auto"/>
                <w:highlight w:val="none"/>
                <w:lang w:val="en"/>
              </w:rPr>
              <w:t>1-2</w:t>
            </w:r>
            <w:r>
              <w:rPr>
                <w:rFonts w:ascii="宋体" w:hAnsi="宋体" w:eastAsia="宋体" w:cs="宋体"/>
                <w:color w:val="auto"/>
                <w:highlight w:val="none"/>
              </w:rPr>
              <w:t>人</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无粮食防化或保管资格人员</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tabs>
                <w:tab w:val="left" w:pos="540"/>
                <w:tab w:val="center" w:pos="1148"/>
              </w:tabs>
              <w:jc w:val="center"/>
              <w:rPr>
                <w:rFonts w:ascii="宋体" w:hAnsi="宋体" w:eastAsia="宋体" w:cs="宋体"/>
                <w:color w:val="auto"/>
                <w:highlight w:val="none"/>
              </w:rPr>
            </w:pPr>
            <w:r>
              <w:rPr>
                <w:rFonts w:ascii="宋体" w:hAnsi="宋体" w:eastAsia="宋体" w:cs="宋体"/>
                <w:color w:val="auto"/>
                <w:highlight w:val="none"/>
              </w:rPr>
              <w:t>安全</w:t>
            </w:r>
            <w:r>
              <w:rPr>
                <w:color w:val="auto"/>
                <w:highlight w:val="none"/>
              </w:rPr>
              <w:t>生产</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近3年内无发生市级认定的安全生产事故</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在《投标承诺函》中承诺</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近3年内发生市级认定的安全生产事故</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hint="eastAsia"/>
                <w:color w:val="auto"/>
                <w:highlight w:val="none"/>
                <w:lang w:eastAsia="zh-CN"/>
              </w:rPr>
              <w:t>信息化和推广应用</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color w:val="auto"/>
                <w:highlight w:val="none"/>
              </w:rPr>
              <w:t>投标粮库</w:t>
            </w:r>
            <w:r>
              <w:rPr>
                <w:rFonts w:hint="eastAsia"/>
                <w:color w:val="auto"/>
                <w:highlight w:val="none"/>
                <w:lang w:val="en-US" w:eastAsia="zh-CN"/>
              </w:rPr>
              <w:t>均</w:t>
            </w:r>
            <w:r>
              <w:rPr>
                <w:color w:val="auto"/>
                <w:highlight w:val="none"/>
              </w:rPr>
              <w:t>与</w:t>
            </w:r>
            <w:r>
              <w:rPr>
                <w:rFonts w:hint="eastAsia"/>
                <w:color w:val="auto"/>
                <w:highlight w:val="none"/>
              </w:rPr>
              <w:t>广东省粮食和应急物资综合管理信息平台</w:t>
            </w:r>
            <w:r>
              <w:rPr>
                <w:color w:val="auto"/>
                <w:highlight w:val="none"/>
              </w:rPr>
              <w:t>对接成功，</w:t>
            </w:r>
            <w:r>
              <w:rPr>
                <w:rFonts w:hint="eastAsia"/>
                <w:color w:val="auto"/>
                <w:highlight w:val="none"/>
                <w:lang w:eastAsia="zh-CN"/>
              </w:rPr>
              <w:t>按时完成粮库软硬件升级改造，</w:t>
            </w:r>
            <w:r>
              <w:rPr>
                <w:color w:val="auto"/>
                <w:highlight w:val="none"/>
              </w:rPr>
              <w:t>实现互联互通</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hint="default" w:ascii="宋体" w:hAnsi="宋体" w:eastAsia="宋体" w:cs="宋体"/>
                <w:color w:val="auto"/>
                <w:highlight w:val="none"/>
                <w:lang w:val="en-US"/>
              </w:rPr>
            </w:pPr>
            <w:r>
              <w:rPr>
                <w:rFonts w:hint="eastAsia" w:ascii="宋体" w:hAnsi="宋体" w:eastAsia="宋体" w:cs="宋体"/>
                <w:color w:val="auto"/>
                <w:sz w:val="21"/>
                <w:szCs w:val="21"/>
                <w:highlight w:val="none"/>
                <w:lang w:eastAsia="zh-CN"/>
              </w:rPr>
              <w:t>提供省粮食和储备行政管理部门出具的互联互通证明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提供广州市储备粮管理信息系统页面及上传管理业务信息页面</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2193" w:type="dxa"/>
            <w:vMerge w:val="continue"/>
            <w:tcBorders>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eastAsia"/>
                <w:color w:val="auto"/>
                <w:highlight w:val="none"/>
                <w:lang w:eastAsia="zh-CN"/>
              </w:rPr>
              <w:t>应用广州市储备粮管理信息系统，按规范上传管理业务信息</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2193" w:type="dxa"/>
            <w:vMerge w:val="continue"/>
            <w:tcBorders>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eastAsia"/>
                <w:color w:val="auto"/>
                <w:highlight w:val="none"/>
                <w:lang w:eastAsia="zh-CN"/>
              </w:rPr>
            </w:pPr>
            <w:r>
              <w:rPr>
                <w:color w:val="auto"/>
                <w:highlight w:val="none"/>
              </w:rPr>
              <w:t>投标粮库部分或全部未实现互联互通</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2193" w:type="dxa"/>
            <w:vMerge w:val="continue"/>
            <w:tcBorders>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eastAsia"/>
                <w:color w:val="auto"/>
                <w:highlight w:val="none"/>
                <w:lang w:eastAsia="zh-CN"/>
              </w:rPr>
            </w:pPr>
            <w:r>
              <w:rPr>
                <w:rFonts w:hint="eastAsia"/>
                <w:color w:val="auto"/>
                <w:highlight w:val="none"/>
                <w:lang w:eastAsia="zh-CN"/>
              </w:rPr>
              <w:t>未按规范上传管理业务信息</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right w:val="single" w:color="666666" w:sz="2" w:space="0"/>
            </w:tcBorders>
            <w:shd w:val="clear" w:color="auto" w:fill="FFFFFF"/>
            <w:noWrap w:val="0"/>
            <w:tcMar>
              <w:top w:w="34" w:type="dxa"/>
              <w:left w:w="38" w:type="dxa"/>
              <w:bottom w:w="34" w:type="dxa"/>
              <w:right w:w="34" w:type="dxa"/>
            </w:tcMar>
            <w:vAlign w:val="center"/>
          </w:tcPr>
          <w:p>
            <w:pPr>
              <w:jc w:val="center"/>
              <w:rPr>
                <w:rFonts w:hint="eastAsia" w:ascii="宋体" w:hAnsi="宋体" w:eastAsia="宋体" w:cs="宋体"/>
                <w:color w:val="auto"/>
                <w:highlight w:val="none"/>
                <w:lang w:val="en-US" w:eastAsia="zh-CN"/>
              </w:rPr>
            </w:pPr>
            <w:r>
              <w:rPr>
                <w:rFonts w:ascii="宋体" w:hAnsi="宋体" w:eastAsia="宋体" w:cs="宋体"/>
                <w:color w:val="auto"/>
                <w:highlight w:val="none"/>
              </w:rPr>
              <w:t>粮食应急加工</w:t>
            </w:r>
            <w:r>
              <w:rPr>
                <w:rFonts w:hint="eastAsia" w:ascii="宋体" w:hAnsi="宋体" w:cs="宋体"/>
                <w:color w:val="auto"/>
                <w:highlight w:val="none"/>
                <w:lang w:val="en-US" w:eastAsia="zh-CN"/>
              </w:rPr>
              <w:t>能力</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原粮加工能力1000吨/日或以上</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加工设备</w:t>
            </w:r>
            <w:r>
              <w:rPr>
                <w:rFonts w:hint="eastAsia" w:ascii="宋体" w:hAnsi="宋体" w:cs="宋体"/>
                <w:color w:val="auto"/>
                <w:highlight w:val="none"/>
                <w:lang w:eastAsia="zh-CN"/>
              </w:rPr>
              <w:t>加工能力参数</w:t>
            </w:r>
            <w:r>
              <w:rPr>
                <w:rFonts w:ascii="宋体" w:hAnsi="宋体" w:eastAsia="宋体" w:cs="宋体"/>
                <w:color w:val="auto"/>
                <w:highlight w:val="none"/>
              </w:rPr>
              <w:t>说明</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auto"/>
            <w:noWrap w:val="0"/>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原粮加工能力</w:t>
            </w:r>
            <w:r>
              <w:rPr>
                <w:rFonts w:hint="eastAsia" w:ascii="宋体" w:hAnsi="宋体" w:cs="宋体"/>
                <w:color w:val="auto"/>
                <w:highlight w:val="none"/>
                <w:lang w:val="en-US" w:eastAsia="zh-CN"/>
              </w:rPr>
              <w:t>5</w:t>
            </w:r>
            <w:r>
              <w:rPr>
                <w:rFonts w:ascii="宋体" w:hAnsi="宋体" w:eastAsia="宋体" w:cs="宋体"/>
                <w:color w:val="auto"/>
                <w:highlight w:val="none"/>
              </w:rPr>
              <w:t>00吨/日（含本数）至</w:t>
            </w:r>
            <w:r>
              <w:rPr>
                <w:rFonts w:hint="eastAsia" w:ascii="宋体" w:hAnsi="宋体" w:cs="宋体"/>
                <w:color w:val="auto"/>
                <w:highlight w:val="none"/>
                <w:lang w:val="en-US" w:eastAsia="zh-CN"/>
              </w:rPr>
              <w:t>10</w:t>
            </w:r>
            <w:r>
              <w:rPr>
                <w:rFonts w:ascii="宋体" w:hAnsi="宋体" w:eastAsia="宋体" w:cs="宋体"/>
                <w:color w:val="auto"/>
                <w:highlight w:val="none"/>
              </w:rPr>
              <w:t>00吨/日（</w:t>
            </w:r>
            <w:r>
              <w:rPr>
                <w:rFonts w:hint="eastAsia" w:ascii="宋体" w:hAnsi="宋体" w:cs="宋体"/>
                <w:color w:val="auto"/>
                <w:highlight w:val="none"/>
                <w:lang w:eastAsia="zh-CN"/>
              </w:rPr>
              <w:t>不</w:t>
            </w:r>
            <w:r>
              <w:rPr>
                <w:rFonts w:ascii="宋体" w:hAnsi="宋体" w:eastAsia="宋体" w:cs="宋体"/>
                <w:color w:val="auto"/>
                <w:highlight w:val="none"/>
              </w:rPr>
              <w:t>含本数）</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auto"/>
            <w:noWrap w:val="0"/>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eastAsia" w:ascii="宋体" w:hAnsi="宋体" w:eastAsia="宋体" w:cs="宋体"/>
                <w:color w:val="auto"/>
                <w:highlight w:val="none"/>
                <w:lang w:eastAsia="zh-CN"/>
              </w:rPr>
            </w:pPr>
            <w:r>
              <w:rPr>
                <w:rFonts w:ascii="宋体" w:hAnsi="宋体" w:eastAsia="宋体" w:cs="宋体"/>
                <w:color w:val="auto"/>
                <w:highlight w:val="none"/>
              </w:rPr>
              <w:t>原粮加工能力</w:t>
            </w:r>
            <w:r>
              <w:rPr>
                <w:rFonts w:hint="eastAsia" w:ascii="宋体" w:hAnsi="宋体" w:cs="宋体"/>
                <w:color w:val="auto"/>
                <w:highlight w:val="none"/>
                <w:lang w:val="en-US" w:eastAsia="zh-CN"/>
              </w:rPr>
              <w:t>5</w:t>
            </w:r>
            <w:r>
              <w:rPr>
                <w:rFonts w:ascii="宋体" w:hAnsi="宋体" w:eastAsia="宋体" w:cs="宋体"/>
                <w:color w:val="auto"/>
                <w:highlight w:val="none"/>
              </w:rPr>
              <w:t>00吨/日</w:t>
            </w:r>
            <w:r>
              <w:rPr>
                <w:rFonts w:hint="eastAsia" w:ascii="宋体" w:hAnsi="宋体" w:cs="宋体"/>
                <w:color w:val="auto"/>
                <w:highlight w:val="none"/>
                <w:lang w:val="en-US" w:eastAsia="zh-CN"/>
              </w:rPr>
              <w:t>以下</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auto"/>
            <w:noWrap w:val="0"/>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无原粮加工能力</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投标人具备</w:t>
            </w:r>
            <w:r>
              <w:rPr>
                <w:rFonts w:hint="eastAsia" w:ascii="宋体" w:hAnsi="宋体" w:eastAsia="宋体" w:cs="宋体"/>
                <w:color w:val="auto"/>
                <w:highlight w:val="none"/>
                <w:lang w:eastAsia="zh-CN"/>
              </w:rPr>
              <w:t>广东省或</w:t>
            </w:r>
            <w:r>
              <w:rPr>
                <w:rFonts w:ascii="宋体" w:hAnsi="宋体" w:eastAsia="宋体" w:cs="宋体"/>
                <w:color w:val="auto"/>
                <w:highlight w:val="none"/>
              </w:rPr>
              <w:t>广州市粮食应急加工资格</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hint="eastAsia" w:ascii="宋体" w:hAnsi="宋体" w:eastAsia="宋体" w:cs="宋体"/>
                <w:color w:val="auto"/>
                <w:highlight w:val="none"/>
              </w:rPr>
              <w:t>以</w:t>
            </w:r>
            <w:r>
              <w:rPr>
                <w:rFonts w:hint="eastAsia" w:ascii="宋体" w:hAnsi="宋体" w:eastAsia="宋体" w:cs="宋体"/>
                <w:color w:val="auto"/>
                <w:highlight w:val="none"/>
                <w:lang w:eastAsia="zh-CN"/>
              </w:rPr>
              <w:t>省市粮食行政管理部门最新</w:t>
            </w:r>
            <w:r>
              <w:rPr>
                <w:rFonts w:hint="eastAsia" w:ascii="宋体" w:hAnsi="宋体" w:eastAsia="宋体" w:cs="宋体"/>
                <w:color w:val="auto"/>
                <w:highlight w:val="none"/>
              </w:rPr>
              <w:t>发布的粮食应急网络名录为准</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投标人</w:t>
            </w:r>
            <w:r>
              <w:rPr>
                <w:rFonts w:hint="eastAsia" w:ascii="宋体" w:hAnsi="宋体" w:cs="宋体"/>
                <w:color w:val="auto"/>
                <w:highlight w:val="none"/>
                <w:lang w:val="en-US" w:eastAsia="zh-CN"/>
              </w:rPr>
              <w:t>不具备</w:t>
            </w:r>
            <w:r>
              <w:rPr>
                <w:rFonts w:hint="eastAsia" w:ascii="宋体" w:hAnsi="宋体" w:eastAsia="宋体" w:cs="宋体"/>
                <w:color w:val="auto"/>
                <w:highlight w:val="none"/>
                <w:lang w:eastAsia="zh-CN"/>
              </w:rPr>
              <w:t>广东省或</w:t>
            </w:r>
            <w:r>
              <w:rPr>
                <w:rFonts w:ascii="宋体" w:hAnsi="宋体" w:eastAsia="宋体" w:cs="宋体"/>
                <w:color w:val="auto"/>
                <w:highlight w:val="none"/>
              </w:rPr>
              <w:t>广州市粮食应急加工资格</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网上交易粮食情况</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color w:val="auto"/>
                <w:highlight w:val="none"/>
              </w:rPr>
              <w:t>广州</w:t>
            </w:r>
            <w:r>
              <w:rPr>
                <w:rFonts w:hint="eastAsia"/>
                <w:color w:val="auto"/>
                <w:highlight w:val="none"/>
                <w:lang w:eastAsia="zh-CN"/>
              </w:rPr>
              <w:t>市</w:t>
            </w:r>
            <w:r>
              <w:rPr>
                <w:color w:val="auto"/>
                <w:highlight w:val="none"/>
              </w:rPr>
              <w:t>储备粮承储企业</w:t>
            </w:r>
            <w:r>
              <w:rPr>
                <w:rFonts w:hint="eastAsia" w:ascii="宋体" w:hAnsi="宋体" w:cs="宋体"/>
                <w:color w:val="auto"/>
                <w:highlight w:val="none"/>
                <w:lang w:val="en-US" w:eastAsia="zh-CN"/>
              </w:rPr>
              <w:t>2023年</w:t>
            </w:r>
            <w:r>
              <w:rPr>
                <w:rFonts w:ascii="宋体" w:hAnsi="宋体" w:eastAsia="宋体" w:cs="宋体"/>
                <w:color w:val="auto"/>
                <w:highlight w:val="none"/>
              </w:rPr>
              <w:t>在具有交易场所资质的第三方规范平台网上交易粮食</w:t>
            </w:r>
            <w:r>
              <w:rPr>
                <w:rFonts w:hint="eastAsia" w:ascii="宋体" w:hAnsi="宋体" w:cs="宋体"/>
                <w:color w:val="auto"/>
                <w:highlight w:val="none"/>
                <w:lang w:val="en-US" w:eastAsia="zh-CN"/>
              </w:rPr>
              <w:t>3次（含）及以上</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承储企业：提供相关承储合同、交易平台出具的交易凭证；</w:t>
            </w:r>
          </w:p>
          <w:p>
            <w:pPr>
              <w:jc w:val="center"/>
              <w:rPr>
                <w:rFonts w:ascii="宋体" w:hAnsi="宋体" w:eastAsia="宋体" w:cs="宋体"/>
                <w:color w:val="auto"/>
                <w:highlight w:val="none"/>
              </w:rPr>
            </w:pPr>
            <w:r>
              <w:rPr>
                <w:rFonts w:ascii="宋体" w:hAnsi="宋体" w:eastAsia="宋体" w:cs="宋体"/>
                <w:color w:val="auto"/>
                <w:highlight w:val="none"/>
              </w:rPr>
              <w:t>非承储企业：提供网上交易情况或交易计划</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color w:val="auto"/>
                <w:highlight w:val="none"/>
              </w:rPr>
              <w:t>广州</w:t>
            </w:r>
            <w:r>
              <w:rPr>
                <w:rFonts w:hint="eastAsia"/>
                <w:color w:val="auto"/>
                <w:highlight w:val="none"/>
                <w:lang w:eastAsia="zh-CN"/>
              </w:rPr>
              <w:t>市</w:t>
            </w:r>
            <w:r>
              <w:rPr>
                <w:color w:val="auto"/>
                <w:highlight w:val="none"/>
              </w:rPr>
              <w:t>储备粮承储企业</w:t>
            </w:r>
            <w:r>
              <w:rPr>
                <w:rFonts w:hint="eastAsia" w:ascii="宋体" w:hAnsi="宋体" w:cs="宋体"/>
                <w:color w:val="auto"/>
                <w:highlight w:val="none"/>
                <w:lang w:val="en-US" w:eastAsia="zh-CN"/>
              </w:rPr>
              <w:t>2023年</w:t>
            </w:r>
            <w:r>
              <w:rPr>
                <w:rFonts w:ascii="宋体" w:hAnsi="宋体" w:eastAsia="宋体" w:cs="宋体"/>
                <w:color w:val="auto"/>
                <w:highlight w:val="none"/>
              </w:rPr>
              <w:t>在具有交易场所资质的第三方规范平台网上交易粮食</w:t>
            </w:r>
            <w:r>
              <w:rPr>
                <w:rFonts w:hint="eastAsia" w:ascii="宋体" w:hAnsi="宋体" w:cs="宋体"/>
                <w:color w:val="auto"/>
                <w:highlight w:val="none"/>
                <w:lang w:val="en-US" w:eastAsia="zh-CN"/>
              </w:rPr>
              <w:t>1-2次</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在企业门户网站发布粮食交易信息</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无网上交易粮食</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eastAsia" w:ascii="宋体" w:hAnsi="宋体" w:eastAsia="宋体" w:cs="宋体"/>
                <w:color w:val="auto"/>
                <w:highlight w:val="none"/>
              </w:rPr>
              <w:t>未成为广州储备粮承储企业，但</w:t>
            </w:r>
            <w:r>
              <w:rPr>
                <w:rFonts w:hint="eastAsia" w:ascii="宋体" w:hAnsi="宋体" w:cs="宋体"/>
                <w:color w:val="auto"/>
                <w:highlight w:val="none"/>
                <w:lang w:val="en-US" w:eastAsia="zh-CN"/>
              </w:rPr>
              <w:t>2023年</w:t>
            </w:r>
            <w:r>
              <w:rPr>
                <w:rFonts w:hint="eastAsia" w:ascii="宋体" w:hAnsi="宋体" w:eastAsia="宋体" w:cs="宋体"/>
                <w:color w:val="auto"/>
                <w:highlight w:val="none"/>
              </w:rPr>
              <w:t>有网上交易粮食或网上交易需求的</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仓容情况</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spacing w:after="200"/>
              <w:jc w:val="both"/>
              <w:rPr>
                <w:rFonts w:ascii="宋体" w:hAnsi="宋体" w:eastAsia="宋体" w:cs="宋体"/>
                <w:color w:val="auto"/>
                <w:highlight w:val="none"/>
              </w:rPr>
            </w:pPr>
            <w:r>
              <w:rPr>
                <w:rFonts w:ascii="宋体" w:hAnsi="宋体" w:eastAsia="宋体" w:cs="宋体"/>
                <w:color w:val="auto"/>
                <w:highlight w:val="none"/>
              </w:rPr>
              <w:t>本粮库总仓容在</w:t>
            </w:r>
            <w:r>
              <w:rPr>
                <w:rFonts w:hint="eastAsia" w:ascii="宋体" w:hAnsi="宋体" w:eastAsia="宋体" w:cs="宋体"/>
                <w:color w:val="auto"/>
                <w:highlight w:val="none"/>
                <w:lang w:val="en-US" w:eastAsia="zh-CN"/>
              </w:rPr>
              <w:t>20</w:t>
            </w:r>
            <w:r>
              <w:rPr>
                <w:rFonts w:ascii="宋体" w:hAnsi="宋体" w:eastAsia="宋体" w:cs="宋体"/>
                <w:color w:val="auto"/>
                <w:highlight w:val="none"/>
              </w:rPr>
              <w:t>万吨或以上</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库区平面图及建筑图纸，并在《投标承诺函》中承诺</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spacing w:after="200"/>
              <w:jc w:val="both"/>
              <w:rPr>
                <w:rFonts w:ascii="宋体" w:hAnsi="宋体" w:eastAsia="宋体" w:cs="宋体"/>
                <w:color w:val="auto"/>
                <w:highlight w:val="none"/>
              </w:rPr>
            </w:pPr>
            <w:r>
              <w:rPr>
                <w:rFonts w:ascii="宋体" w:hAnsi="宋体" w:eastAsia="宋体" w:cs="宋体"/>
                <w:color w:val="auto"/>
                <w:highlight w:val="none"/>
              </w:rPr>
              <w:t>本粮库仓容</w:t>
            </w:r>
            <w:r>
              <w:rPr>
                <w:rFonts w:hint="eastAsia" w:ascii="宋体" w:hAnsi="宋体" w:eastAsia="宋体" w:cs="宋体"/>
                <w:color w:val="auto"/>
                <w:highlight w:val="none"/>
                <w:lang w:val="en-US" w:eastAsia="zh-CN"/>
              </w:rPr>
              <w:t>10</w:t>
            </w:r>
            <w:r>
              <w:rPr>
                <w:rFonts w:ascii="宋体" w:hAnsi="宋体" w:eastAsia="宋体" w:cs="宋体"/>
                <w:color w:val="auto"/>
                <w:highlight w:val="none"/>
              </w:rPr>
              <w:t>万吨（含本数）至</w:t>
            </w:r>
            <w:r>
              <w:rPr>
                <w:rFonts w:hint="eastAsia" w:ascii="宋体" w:hAnsi="宋体" w:eastAsia="宋体" w:cs="宋体"/>
                <w:color w:val="auto"/>
                <w:highlight w:val="none"/>
                <w:lang w:val="en-US" w:eastAsia="zh-CN"/>
              </w:rPr>
              <w:t>20</w:t>
            </w:r>
            <w:r>
              <w:rPr>
                <w:rFonts w:ascii="宋体" w:hAnsi="宋体" w:eastAsia="宋体" w:cs="宋体"/>
                <w:color w:val="auto"/>
                <w:highlight w:val="none"/>
              </w:rPr>
              <w:t>万吨（不含本数）</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spacing w:after="200"/>
              <w:jc w:val="both"/>
              <w:rPr>
                <w:rFonts w:ascii="宋体" w:hAnsi="宋体" w:eastAsia="宋体" w:cs="宋体"/>
                <w:color w:val="auto"/>
                <w:highlight w:val="none"/>
              </w:rPr>
            </w:pPr>
            <w:r>
              <w:rPr>
                <w:rFonts w:ascii="宋体" w:hAnsi="宋体" w:eastAsia="宋体" w:cs="宋体"/>
                <w:color w:val="auto"/>
                <w:highlight w:val="none"/>
              </w:rPr>
              <w:t>本粮库仓容不足</w:t>
            </w:r>
            <w:r>
              <w:rPr>
                <w:rFonts w:hint="eastAsia" w:ascii="宋体" w:hAnsi="宋体" w:eastAsia="宋体" w:cs="宋体"/>
                <w:color w:val="auto"/>
                <w:highlight w:val="none"/>
                <w:lang w:val="en-US" w:eastAsia="zh-CN"/>
              </w:rPr>
              <w:t>10</w:t>
            </w:r>
            <w:r>
              <w:rPr>
                <w:rFonts w:ascii="宋体" w:hAnsi="宋体" w:eastAsia="宋体" w:cs="宋体"/>
                <w:color w:val="auto"/>
                <w:highlight w:val="none"/>
              </w:rPr>
              <w:t>万吨</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bl>
    <w:p>
      <w:pPr>
        <w:widowControl w:val="0"/>
        <w:spacing w:after="200" w:line="360" w:lineRule="auto"/>
        <w:jc w:val="both"/>
        <w:rPr>
          <w:rFonts w:ascii="宋体" w:hAnsi="宋体" w:eastAsia="宋体" w:cs="宋体"/>
          <w:color w:val="auto"/>
          <w:highlight w:val="none"/>
          <w:lang w:eastAsia="zh-CN"/>
        </w:rPr>
      </w:pPr>
    </w:p>
    <w:p>
      <w:pPr>
        <w:widowControl w:val="0"/>
        <w:spacing w:after="200" w:line="360" w:lineRule="auto"/>
        <w:jc w:val="both"/>
        <w:rPr>
          <w:rFonts w:ascii="宋体" w:hAnsi="宋体" w:eastAsia="宋体" w:cs="宋体"/>
          <w:color w:val="auto"/>
          <w:highlight w:val="none"/>
          <w:lang w:eastAsia="zh-CN"/>
        </w:rPr>
      </w:pPr>
    </w:p>
    <w:p>
      <w:pPr>
        <w:pStyle w:val="4"/>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商务部分响应情况表</w:t>
      </w:r>
    </w:p>
    <w:tbl>
      <w:tblPr>
        <w:tblStyle w:val="5"/>
        <w:tblW w:w="5000" w:type="pct"/>
        <w:tblInd w:w="46" w:type="dxa"/>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93"/>
        <w:gridCol w:w="2173"/>
        <w:gridCol w:w="2173"/>
        <w:gridCol w:w="2173"/>
      </w:tblGrid>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tcBorders>
              <w:bottom w:val="single" w:color="666666" w:sz="2" w:space="0"/>
              <w:right w:val="single" w:color="666666" w:sz="2" w:space="0"/>
            </w:tcBorders>
            <w:shd w:val="clear" w:color="auto" w:fill="FFFFFF"/>
            <w:noWrap w:val="0"/>
            <w:tcMar>
              <w:top w:w="38"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评审项目</w:t>
            </w:r>
          </w:p>
        </w:tc>
        <w:tc>
          <w:tcPr>
            <w:tcW w:w="2173"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具体内容</w:t>
            </w:r>
          </w:p>
        </w:tc>
        <w:tc>
          <w:tcPr>
            <w:tcW w:w="2173"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投标人</w:t>
            </w:r>
          </w:p>
          <w:p>
            <w:pPr>
              <w:widowControl w:val="0"/>
              <w:jc w:val="center"/>
              <w:rPr>
                <w:rFonts w:ascii="宋体" w:hAnsi="宋体" w:eastAsia="宋体" w:cs="宋体"/>
                <w:color w:val="auto"/>
                <w:highlight w:val="none"/>
              </w:rPr>
            </w:pPr>
            <w:r>
              <w:rPr>
                <w:rFonts w:ascii="宋体" w:hAnsi="宋体" w:eastAsia="宋体" w:cs="宋体"/>
                <w:color w:val="auto"/>
                <w:highlight w:val="none"/>
              </w:rPr>
              <w:t>响应情况</w:t>
            </w:r>
          </w:p>
        </w:tc>
        <w:tc>
          <w:tcPr>
            <w:tcW w:w="2173"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需提供的证明资料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投标粮库的仓库结构</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eastAsia" w:ascii="宋体" w:hAnsi="宋体" w:eastAsia="宋体" w:cs="宋体"/>
                <w:color w:val="auto"/>
                <w:sz w:val="21"/>
                <w:szCs w:val="21"/>
                <w:highlight w:val="none"/>
              </w:rPr>
              <w:t>投标粮库均为</w:t>
            </w:r>
            <w:r>
              <w:rPr>
                <w:rFonts w:hint="eastAsia" w:ascii="宋体" w:hAnsi="宋体" w:eastAsia="宋体" w:cs="宋体"/>
                <w:color w:val="auto"/>
                <w:sz w:val="21"/>
                <w:szCs w:val="21"/>
                <w:highlight w:val="none"/>
                <w:lang w:eastAsia="zh-CN"/>
              </w:rPr>
              <w:t>钢筋混凝土</w:t>
            </w:r>
            <w:r>
              <w:rPr>
                <w:rFonts w:hint="eastAsia" w:ascii="宋体" w:hAnsi="宋体" w:eastAsia="宋体" w:cs="宋体"/>
                <w:color w:val="auto"/>
                <w:sz w:val="21"/>
                <w:szCs w:val="21"/>
                <w:highlight w:val="none"/>
              </w:rPr>
              <w:t>框架结构</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hint="eastAsia" w:ascii="宋体" w:hAnsi="宋体" w:eastAsia="宋体" w:cs="宋体"/>
                <w:color w:val="auto"/>
                <w:highlight w:val="none"/>
                <w:lang w:eastAsia="zh-CN"/>
              </w:rPr>
              <w:t>投标粮库的</w:t>
            </w:r>
            <w:r>
              <w:rPr>
                <w:rFonts w:ascii="宋体" w:hAnsi="宋体" w:eastAsia="宋体" w:cs="宋体"/>
                <w:color w:val="auto"/>
                <w:highlight w:val="none"/>
              </w:rPr>
              <w:t>建筑图纸等佐证材料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eastAsia" w:ascii="宋体" w:hAnsi="宋体" w:eastAsia="宋体" w:cs="宋体"/>
                <w:color w:val="auto"/>
                <w:sz w:val="21"/>
                <w:szCs w:val="21"/>
                <w:highlight w:val="none"/>
                <w:lang w:eastAsia="zh-CN"/>
              </w:rPr>
              <w:t>投标粮库为</w:t>
            </w:r>
            <w:r>
              <w:rPr>
                <w:rFonts w:hint="eastAsia" w:ascii="宋体" w:hAnsi="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结构</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库区环境</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好 (绿化好，库区整洁，环境优美）</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库区照片</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中（绿化、库区环境一般）</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193" w:type="dxa"/>
            <w:vMerge w:val="continue"/>
            <w:tcBorders>
              <w:top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差（绿化、库区环境差）</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r>
              <w:rPr>
                <w:rFonts w:hint="eastAsia"/>
                <w:color w:val="auto"/>
                <w:highlight w:val="none"/>
                <w:lang w:eastAsia="zh-CN"/>
              </w:rPr>
              <w:t>承储规章制度及应急保障措施</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color w:val="auto"/>
                <w:highlight w:val="none"/>
              </w:rPr>
              <w:t>好（</w:t>
            </w:r>
            <w:r>
              <w:rPr>
                <w:rFonts w:hint="eastAsia"/>
                <w:color w:val="auto"/>
                <w:highlight w:val="none"/>
                <w:lang w:eastAsia="zh-CN"/>
              </w:rPr>
              <w:t>规章制度完善</w:t>
            </w:r>
            <w:r>
              <w:rPr>
                <w:color w:val="auto"/>
                <w:highlight w:val="none"/>
              </w:rPr>
              <w:t>，</w:t>
            </w:r>
            <w:r>
              <w:rPr>
                <w:rFonts w:hint="eastAsia"/>
                <w:color w:val="auto"/>
                <w:highlight w:val="none"/>
                <w:lang w:eastAsia="zh-CN"/>
              </w:rPr>
              <w:t>应急保障措施充足</w:t>
            </w:r>
            <w:r>
              <w:rPr>
                <w:color w:val="auto"/>
                <w:highlight w:val="none"/>
              </w:rPr>
              <w:t>）</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hint="default" w:ascii="宋体" w:hAnsi="宋体" w:eastAsia="宋体" w:cs="宋体"/>
                <w:color w:val="auto"/>
                <w:highlight w:val="none"/>
                <w:lang w:val="en-US" w:eastAsia="zh-CN"/>
              </w:rPr>
            </w:pPr>
            <w:r>
              <w:rPr>
                <w:rFonts w:ascii="宋体" w:hAnsi="宋体" w:eastAsia="宋体" w:cs="宋体"/>
                <w:color w:val="auto"/>
                <w:highlight w:val="none"/>
              </w:rPr>
              <w:t>承储企业：提供</w:t>
            </w:r>
            <w:r>
              <w:rPr>
                <w:rFonts w:hint="eastAsia" w:ascii="宋体" w:hAnsi="宋体" w:cs="宋体"/>
                <w:color w:val="auto"/>
                <w:highlight w:val="none"/>
                <w:lang w:val="en-US" w:eastAsia="zh-CN"/>
              </w:rPr>
              <w:t>企业相关承储规章制度及应急保障措施相关管理办法</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color w:val="auto"/>
                <w:highlight w:val="none"/>
              </w:rPr>
              <w:t>中（</w:t>
            </w:r>
            <w:r>
              <w:rPr>
                <w:rFonts w:hint="eastAsia"/>
                <w:color w:val="auto"/>
                <w:highlight w:val="none"/>
                <w:lang w:eastAsia="zh-CN"/>
              </w:rPr>
              <w:t>规章制度一般</w:t>
            </w:r>
            <w:r>
              <w:rPr>
                <w:color w:val="auto"/>
                <w:highlight w:val="none"/>
              </w:rPr>
              <w:t>，</w:t>
            </w:r>
            <w:r>
              <w:rPr>
                <w:rFonts w:hint="eastAsia"/>
                <w:color w:val="auto"/>
                <w:highlight w:val="none"/>
                <w:lang w:eastAsia="zh-CN"/>
              </w:rPr>
              <w:t>应急保障措施一般</w:t>
            </w:r>
            <w:r>
              <w:rPr>
                <w:color w:val="auto"/>
                <w:highlight w:val="none"/>
              </w:rPr>
              <w:t>）</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color w:val="auto"/>
                <w:highlight w:val="none"/>
              </w:rPr>
              <w:t>差（</w:t>
            </w:r>
            <w:r>
              <w:rPr>
                <w:rFonts w:hint="eastAsia"/>
                <w:color w:val="auto"/>
                <w:highlight w:val="none"/>
                <w:lang w:eastAsia="zh-CN"/>
              </w:rPr>
              <w:t>规章制度欠缺</w:t>
            </w:r>
            <w:r>
              <w:rPr>
                <w:color w:val="auto"/>
                <w:highlight w:val="none"/>
              </w:rPr>
              <w:t>，</w:t>
            </w:r>
            <w:r>
              <w:rPr>
                <w:rFonts w:hint="eastAsia"/>
                <w:color w:val="auto"/>
                <w:highlight w:val="none"/>
                <w:lang w:eastAsia="zh-CN"/>
              </w:rPr>
              <w:t>应急保障措施较少</w:t>
            </w:r>
            <w:r>
              <w:rPr>
                <w:color w:val="auto"/>
                <w:highlight w:val="none"/>
              </w:rPr>
              <w:t>）</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right w:val="single" w:color="666666" w:sz="2" w:space="0"/>
            </w:tcBorders>
            <w:shd w:val="clear" w:color="auto" w:fill="FFFFFF"/>
            <w:noWrap w:val="0"/>
            <w:tcMar>
              <w:top w:w="34" w:type="dxa"/>
              <w:left w:w="38" w:type="dxa"/>
              <w:bottom w:w="34" w:type="dxa"/>
              <w:right w:w="34" w:type="dxa"/>
            </w:tcMar>
            <w:vAlign w:val="center"/>
          </w:tcPr>
          <w:p>
            <w:pPr>
              <w:jc w:val="center"/>
              <w:rPr>
                <w:rFonts w:ascii="宋体" w:hAnsi="宋体" w:eastAsia="宋体" w:cs="宋体"/>
                <w:color w:val="auto"/>
                <w:highlight w:val="none"/>
              </w:rPr>
            </w:pPr>
            <w:r>
              <w:rPr>
                <w:color w:val="auto"/>
                <w:highlight w:val="none"/>
              </w:rPr>
              <w:t>储备</w:t>
            </w:r>
            <w:r>
              <w:rPr>
                <w:rFonts w:hint="eastAsia"/>
                <w:color w:val="auto"/>
                <w:highlight w:val="none"/>
                <w:lang w:eastAsia="zh-CN"/>
              </w:rPr>
              <w:t>粮综合管理水平</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hint="eastAsia"/>
                <w:color w:val="auto"/>
                <w:highlight w:val="none"/>
                <w:lang w:eastAsia="zh-CN"/>
              </w:rPr>
              <w:t>承储企业在</w:t>
            </w:r>
            <w:r>
              <w:rPr>
                <w:rFonts w:hint="eastAsia"/>
                <w:color w:val="auto"/>
                <w:highlight w:val="none"/>
                <w:lang w:val="en-US" w:eastAsia="zh-CN"/>
              </w:rPr>
              <w:t>2021-2023年承储市本级储备粮过程中，管理水平先进，在国家、省及市、区粮食行业管理部门日常检查及专项检查中，未出现轮换（入库）超期、库存不达标等情况，未有过被各级粮食行业管理部门发函催办、提醒、通报等情况。</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hint="eastAsia" w:ascii="宋体" w:hAnsi="宋体" w:eastAsia="宋体" w:cs="宋体"/>
                <w:color w:val="auto"/>
                <w:highlight w:val="none"/>
                <w:lang w:eastAsia="zh-CN"/>
              </w:rPr>
            </w:pPr>
            <w:r>
              <w:rPr>
                <w:rFonts w:ascii="宋体" w:hAnsi="宋体" w:eastAsia="宋体" w:cs="宋体"/>
                <w:color w:val="auto"/>
                <w:highlight w:val="none"/>
              </w:rPr>
              <w:t>在《投标承诺函》中承诺</w:t>
            </w:r>
            <w:r>
              <w:rPr>
                <w:rFonts w:hint="eastAsia" w:ascii="宋体" w:hAnsi="宋体" w:cs="宋体"/>
                <w:color w:val="auto"/>
                <w:highlight w:val="none"/>
                <w:lang w:val="en-US" w:eastAsia="zh-CN"/>
              </w:rPr>
              <w:t>和</w:t>
            </w:r>
            <w:r>
              <w:rPr>
                <w:rFonts w:hint="eastAsia" w:ascii="宋体" w:hAnsi="宋体" w:cs="宋体"/>
                <w:color w:val="auto"/>
                <w:highlight w:val="none"/>
                <w:lang w:eastAsia="zh-CN"/>
              </w:rPr>
              <w:t>以</w:t>
            </w:r>
            <w:r>
              <w:rPr>
                <w:rFonts w:hint="eastAsia" w:ascii="宋体" w:hAnsi="宋体" w:cs="宋体"/>
                <w:color w:val="auto"/>
                <w:highlight w:val="none"/>
                <w:lang w:val="en-US" w:eastAsia="zh-CN"/>
              </w:rPr>
              <w:t>采购人在开标前提供的</w:t>
            </w:r>
            <w:r>
              <w:rPr>
                <w:rFonts w:hint="eastAsia" w:ascii="宋体" w:hAnsi="宋体" w:cs="宋体"/>
                <w:color w:val="auto"/>
                <w:highlight w:val="none"/>
                <w:lang w:eastAsia="zh-CN"/>
              </w:rPr>
              <w:t>证明文</w:t>
            </w:r>
            <w:bookmarkStart w:id="8" w:name="_GoBack"/>
            <w:bookmarkEnd w:id="8"/>
            <w:r>
              <w:rPr>
                <w:rFonts w:hint="eastAsia" w:ascii="宋体" w:hAnsi="宋体" w:cs="宋体"/>
                <w:color w:val="auto"/>
                <w:highlight w:val="none"/>
                <w:lang w:eastAsia="zh-CN"/>
              </w:rPr>
              <w:t>件为准</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PrEx>
        <w:trPr>
          <w:trHeight w:val="450"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jc w:val="center"/>
              <w:rPr>
                <w:color w:val="00B0F0"/>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default" w:ascii="宋体" w:hAnsi="宋体" w:cs="宋体"/>
                <w:color w:val="auto"/>
                <w:highlight w:val="none"/>
                <w:lang w:val="en-US" w:eastAsia="zh-CN"/>
              </w:rPr>
            </w:pPr>
            <w:r>
              <w:rPr>
                <w:rFonts w:hint="eastAsia" w:ascii="宋体" w:hAnsi="宋体" w:cs="宋体"/>
                <w:color w:val="auto"/>
                <w:highlight w:val="none"/>
                <w:lang w:val="en-US" w:eastAsia="zh-CN"/>
              </w:rPr>
              <w:t>存在上述情况1次</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jc w:val="center"/>
              <w:rPr>
                <w:color w:val="00B0F0"/>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存在上述情况2次或以上</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jc w:val="center"/>
              <w:rPr>
                <w:color w:val="00B0F0"/>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hint="default" w:ascii="宋体" w:hAnsi="宋体" w:cs="宋体"/>
                <w:color w:val="auto"/>
                <w:highlight w:val="none"/>
                <w:lang w:val="en-US" w:eastAsia="zh-CN"/>
              </w:rPr>
            </w:pPr>
            <w:r>
              <w:rPr>
                <w:rFonts w:hint="default" w:ascii="宋体" w:hAnsi="宋体" w:cs="宋体"/>
                <w:color w:val="auto"/>
                <w:highlight w:val="none"/>
                <w:lang w:val="en-US" w:eastAsia="zh-CN"/>
              </w:rPr>
              <w:t>出现重大质量问题、投标违约等严重情况</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restart"/>
            <w:tcBorders>
              <w:top w:val="single" w:color="666666" w:sz="2" w:space="0"/>
              <w:right w:val="single" w:color="666666" w:sz="2" w:space="0"/>
            </w:tcBorders>
            <w:shd w:val="clear" w:color="auto" w:fill="auto"/>
            <w:noWrap w:val="0"/>
            <w:vAlign w:val="center"/>
          </w:tcPr>
          <w:p>
            <w:pPr>
              <w:jc w:val="center"/>
              <w:rPr>
                <w:rFonts w:ascii="宋体" w:hAnsi="宋体" w:eastAsia="宋体" w:cs="宋体"/>
                <w:color w:val="auto"/>
                <w:highlight w:val="none"/>
              </w:rPr>
            </w:pPr>
            <w:r>
              <w:rPr>
                <w:rFonts w:hint="eastAsia"/>
                <w:lang w:eastAsia="zh-CN"/>
              </w:rPr>
              <w:t>粮食</w:t>
            </w:r>
            <w:r>
              <w:rPr>
                <w:rFonts w:hint="eastAsia"/>
                <w:color w:val="auto"/>
                <w:lang w:eastAsia="zh-CN"/>
              </w:rPr>
              <w:t>运营能</w:t>
            </w:r>
            <w:r>
              <w:rPr>
                <w:rFonts w:hint="eastAsia"/>
                <w:lang w:eastAsia="zh-CN"/>
              </w:rPr>
              <w:t>力</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有粮食自主经营品牌</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品牌名称及相关材料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投标人粮食购销能力一般，无粮食自主经营品牌</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PrEx>
        <w:trPr>
          <w:trHeight w:val="450" w:hRule="atLeast"/>
        </w:trPr>
        <w:tc>
          <w:tcPr>
            <w:tcW w:w="2193" w:type="dxa"/>
            <w:vMerge w:val="continue"/>
            <w:tcBorders>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both"/>
              <w:rPr>
                <w:rFonts w:ascii="宋体" w:hAnsi="宋体" w:eastAsia="宋体" w:cs="宋体"/>
                <w:color w:val="auto"/>
                <w:highlight w:val="none"/>
              </w:rPr>
            </w:pPr>
            <w:r>
              <w:rPr>
                <w:rFonts w:ascii="宋体" w:hAnsi="宋体" w:eastAsia="宋体" w:cs="宋体"/>
                <w:color w:val="auto"/>
                <w:highlight w:val="none"/>
              </w:rPr>
              <w:t>近3年获粮农业内运营示范引领企业称号情况</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国家级</w:t>
            </w:r>
          </w:p>
        </w:tc>
        <w:tc>
          <w:tcPr>
            <w:tcW w:w="2173" w:type="dxa"/>
            <w:vMerge w:val="restart"/>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相关称号材料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93" w:type="dxa"/>
            <w:vMerge w:val="continue"/>
            <w:tcBorders>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省级</w:t>
            </w: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PrEx>
        <w:trPr>
          <w:trHeight w:val="450" w:hRule="atLeast"/>
        </w:trPr>
        <w:tc>
          <w:tcPr>
            <w:tcW w:w="2193" w:type="dxa"/>
            <w:vMerge w:val="continue"/>
            <w:tcBorders>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vMerge w:val="continue"/>
            <w:tcBorders>
              <w:top w:val="single" w:color="666666" w:sz="2" w:space="0"/>
              <w:left w:val="single" w:color="666666" w:sz="2" w:space="0"/>
              <w:bottom w:val="single" w:color="666666" w:sz="2" w:space="0"/>
              <w:right w:val="single" w:color="666666" w:sz="2"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市级</w:t>
            </w:r>
          </w:p>
        </w:tc>
        <w:tc>
          <w:tcPr>
            <w:tcW w:w="2173" w:type="dxa"/>
            <w:vMerge w:val="continue"/>
            <w:tcBorders>
              <w:top w:val="single" w:color="666666" w:sz="2" w:space="0"/>
              <w:left w:val="single" w:color="666666" w:sz="2" w:space="0"/>
              <w:bottom w:val="single" w:color="666666" w:sz="2" w:space="0"/>
              <w:right w:val="single" w:color="666666" w:sz="2"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193" w:type="dxa"/>
            <w:vMerge w:val="restart"/>
            <w:tcBorders>
              <w:top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荣誉</w:t>
            </w:r>
          </w:p>
        </w:tc>
        <w:tc>
          <w:tcPr>
            <w:tcW w:w="2173" w:type="dxa"/>
            <w:vMerge w:val="restart"/>
            <w:tcBorders>
              <w:top w:val="single" w:color="666666" w:sz="2" w:space="0"/>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近3年获技术创新或优质品牌称号情况</w:t>
            </w: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u w:val="single" w:color="333333"/>
              </w:rPr>
            </w:pPr>
            <w:r>
              <w:rPr>
                <w:rFonts w:ascii="宋体" w:hAnsi="宋体" w:eastAsia="宋体" w:cs="宋体"/>
                <w:color w:val="auto"/>
                <w:highlight w:val="none"/>
              </w:rPr>
              <w:t>国家级</w:t>
            </w:r>
          </w:p>
        </w:tc>
        <w:tc>
          <w:tcPr>
            <w:tcW w:w="2173" w:type="dxa"/>
            <w:vMerge w:val="restart"/>
            <w:tcBorders>
              <w:top w:val="single" w:color="666666" w:sz="2" w:space="0"/>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相关称号材料</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193" w:type="dxa"/>
            <w:vMerge w:val="continue"/>
            <w:tcBorders>
              <w:right w:val="single" w:color="666666" w:sz="2" w:space="0"/>
            </w:tcBorders>
            <w:shd w:val="clear" w:color="auto" w:fill="FFFFFF"/>
            <w:noWrap w:val="0"/>
            <w:tcMar>
              <w:top w:w="34" w:type="dxa"/>
              <w:left w:w="38" w:type="dxa"/>
              <w:bottom w:w="34" w:type="dxa"/>
              <w:right w:w="34" w:type="dxa"/>
            </w:tcMar>
            <w:vAlign w:val="center"/>
          </w:tcPr>
          <w:p>
            <w:pPr>
              <w:widowControl w:val="0"/>
              <w:jc w:val="both"/>
              <w:rPr>
                <w:rFonts w:ascii="宋体" w:hAnsi="宋体" w:eastAsia="宋体" w:cs="宋体"/>
                <w:color w:val="auto"/>
                <w:highlight w:val="none"/>
              </w:rPr>
            </w:pP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u w:val="single" w:color="333333"/>
              </w:rPr>
            </w:pPr>
            <w:r>
              <w:rPr>
                <w:rFonts w:ascii="宋体" w:hAnsi="宋体" w:eastAsia="宋体" w:cs="宋体"/>
                <w:color w:val="auto"/>
                <w:highlight w:val="none"/>
              </w:rPr>
              <w:t>省级</w:t>
            </w:r>
          </w:p>
        </w:tc>
        <w:tc>
          <w:tcPr>
            <w:tcW w:w="2173" w:type="dxa"/>
            <w:vMerge w:val="continue"/>
            <w:tcBorders>
              <w:left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193" w:type="dxa"/>
            <w:vMerge w:val="continue"/>
            <w:tcBorders>
              <w:bottom w:val="single" w:color="666666" w:sz="2" w:space="0"/>
              <w:right w:val="single" w:color="666666" w:sz="2" w:space="0"/>
            </w:tcBorders>
            <w:shd w:val="clear" w:color="auto" w:fill="FFFFFF"/>
            <w:noWrap w:val="0"/>
            <w:tcMar>
              <w:top w:w="34" w:type="dxa"/>
              <w:left w:w="38" w:type="dxa"/>
              <w:bottom w:w="34" w:type="dxa"/>
              <w:right w:w="34" w:type="dxa"/>
            </w:tcMar>
            <w:vAlign w:val="center"/>
          </w:tcPr>
          <w:p>
            <w:pPr>
              <w:widowControl w:val="0"/>
              <w:jc w:val="both"/>
              <w:rPr>
                <w:rFonts w:ascii="宋体" w:hAnsi="宋体" w:eastAsia="宋体" w:cs="宋体"/>
                <w:color w:val="auto"/>
                <w:highlight w:val="none"/>
              </w:rPr>
            </w:pPr>
          </w:p>
        </w:tc>
        <w:tc>
          <w:tcPr>
            <w:tcW w:w="2173" w:type="dxa"/>
            <w:vMerge w:val="continue"/>
            <w:tcBorders>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p>
        </w:tc>
        <w:tc>
          <w:tcPr>
            <w:tcW w:w="2173"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u w:val="single" w:color="333333"/>
              </w:rPr>
            </w:pPr>
            <w:r>
              <w:rPr>
                <w:rFonts w:ascii="宋体" w:hAnsi="宋体" w:eastAsia="宋体" w:cs="宋体"/>
                <w:color w:val="auto"/>
                <w:highlight w:val="none"/>
              </w:rPr>
              <w:t>市级</w:t>
            </w:r>
          </w:p>
        </w:tc>
        <w:tc>
          <w:tcPr>
            <w:tcW w:w="2173" w:type="dxa"/>
            <w:vMerge w:val="continue"/>
            <w:tcBorders>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219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4" w:type="dxa"/>
              <w:left w:w="38" w:type="dxa"/>
              <w:bottom w:w="34" w:type="dxa"/>
              <w:right w:w="34" w:type="dxa"/>
            </w:tcMar>
            <w:vAlign w:val="center"/>
          </w:tcPr>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201</w:t>
            </w:r>
            <w:r>
              <w:rPr>
                <w:rFonts w:hint="eastAsia" w:ascii="宋体" w:hAnsi="宋体" w:cs="宋体"/>
                <w:color w:val="auto"/>
                <w:highlight w:val="none"/>
                <w:lang w:val="en-US" w:eastAsia="zh-CN"/>
              </w:rPr>
              <w:t>9</w:t>
            </w:r>
            <w:r>
              <w:rPr>
                <w:rFonts w:ascii="宋体" w:hAnsi="宋体" w:eastAsia="宋体" w:cs="宋体"/>
                <w:color w:val="auto"/>
                <w:highlight w:val="none"/>
              </w:rPr>
              <w:t>至</w:t>
            </w:r>
            <w:r>
              <w:rPr>
                <w:rFonts w:hint="default" w:ascii="宋体" w:hAnsi="宋体" w:cs="宋体"/>
                <w:color w:val="auto"/>
                <w:highlight w:val="none"/>
                <w:lang w:val="en" w:eastAsia="zh-CN"/>
              </w:rPr>
              <w:t>2022</w:t>
            </w:r>
            <w:r>
              <w:rPr>
                <w:rFonts w:ascii="宋体" w:hAnsi="宋体" w:eastAsia="宋体" w:cs="宋体"/>
                <w:color w:val="auto"/>
                <w:highlight w:val="none"/>
              </w:rPr>
              <w:t>年在市本级储备粮油管理绩效评价</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2019年</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201</w:t>
            </w:r>
            <w:r>
              <w:rPr>
                <w:rFonts w:hint="eastAsia" w:ascii="宋体" w:hAnsi="宋体" w:cs="宋体"/>
                <w:color w:val="auto"/>
                <w:highlight w:val="none"/>
                <w:lang w:val="en-US" w:eastAsia="zh-CN"/>
              </w:rPr>
              <w:t>9</w:t>
            </w:r>
            <w:r>
              <w:rPr>
                <w:rFonts w:ascii="宋体" w:hAnsi="宋体" w:eastAsia="宋体" w:cs="宋体"/>
                <w:color w:val="auto"/>
                <w:highlight w:val="none"/>
              </w:rPr>
              <w:t>-</w:t>
            </w:r>
            <w:r>
              <w:rPr>
                <w:rFonts w:hint="default" w:ascii="宋体" w:hAnsi="宋体" w:cs="宋体"/>
                <w:color w:val="auto"/>
                <w:highlight w:val="none"/>
                <w:lang w:val="en" w:eastAsia="zh-CN"/>
              </w:rPr>
              <w:t>2022</w:t>
            </w:r>
            <w:r>
              <w:rPr>
                <w:rFonts w:ascii="宋体" w:hAnsi="宋体" w:eastAsia="宋体" w:cs="宋体"/>
                <w:color w:val="auto"/>
                <w:highlight w:val="none"/>
              </w:rPr>
              <w:t>年市本级储备粮油管理绩效评价的通报文件</w:t>
            </w: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PrEx>
        <w:trPr>
          <w:trHeight w:val="501" w:hRule="atLeast"/>
        </w:trPr>
        <w:tc>
          <w:tcPr>
            <w:tcW w:w="219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ascii="宋体" w:hAnsi="宋体" w:eastAsia="宋体" w:cs="宋体"/>
                <w:color w:val="auto"/>
                <w:highlight w:val="none"/>
              </w:rPr>
              <w:t>2020年</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jc w:val="cente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PrEx>
        <w:trPr>
          <w:trHeight w:val="501" w:hRule="atLeast"/>
        </w:trPr>
        <w:tc>
          <w:tcPr>
            <w:tcW w:w="219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hint="eastAsia" w:ascii="宋体" w:hAnsi="宋体" w:cs="宋体"/>
                <w:color w:val="auto"/>
                <w:highlight w:val="none"/>
                <w:lang w:val="en-US" w:eastAsia="zh-CN"/>
              </w:rPr>
              <w:t>2021年</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r>
      <w:tr>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219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eastAsia="宋体" w:cs="宋体"/>
                <w:color w:val="auto"/>
                <w:highlight w:val="none"/>
              </w:rPr>
            </w:pP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r>
              <w:rPr>
                <w:rFonts w:hint="default" w:ascii="宋体" w:hAnsi="宋体" w:cs="宋体"/>
                <w:color w:val="auto"/>
                <w:highlight w:val="none"/>
                <w:lang w:val="en" w:eastAsia="zh-CN"/>
              </w:rPr>
              <w:t>2022</w:t>
            </w:r>
            <w:r>
              <w:rPr>
                <w:rFonts w:ascii="宋体" w:hAnsi="宋体" w:eastAsia="宋体" w:cs="宋体"/>
                <w:color w:val="auto"/>
                <w:highlight w:val="none"/>
              </w:rPr>
              <w:t>年</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0"/>
            <w:tcMar>
              <w:top w:w="34" w:type="dxa"/>
              <w:left w:w="34" w:type="dxa"/>
              <w:bottom w:w="34" w:type="dxa"/>
              <w:right w:w="34" w:type="dxa"/>
            </w:tcMar>
            <w:vAlign w:val="center"/>
          </w:tcPr>
          <w:p>
            <w:pPr>
              <w:widowControl w:val="0"/>
              <w:jc w:val="center"/>
              <w:rPr>
                <w:rFonts w:ascii="宋体" w:hAnsi="宋体" w:eastAsia="宋体" w:cs="宋体"/>
                <w:color w:val="auto"/>
                <w:highlight w:val="none"/>
              </w:rPr>
            </w:pPr>
          </w:p>
        </w:tc>
        <w:tc>
          <w:tcPr>
            <w:tcW w:w="21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r>
    </w:tbl>
    <w:p>
      <w:pPr>
        <w:widowControl w:val="0"/>
        <w:spacing w:line="360" w:lineRule="auto"/>
        <w:jc w:val="both"/>
        <w:rPr>
          <w:rFonts w:ascii="宋体" w:hAnsi="宋体" w:eastAsia="宋体" w:cs="宋体"/>
          <w:color w:val="auto"/>
          <w:highlight w:val="none"/>
        </w:rPr>
      </w:pPr>
      <w:r>
        <w:rPr>
          <w:rFonts w:ascii="宋体" w:hAnsi="宋体" w:eastAsia="宋体" w:cs="宋体"/>
          <w:color w:val="auto"/>
          <w:highlight w:val="none"/>
        </w:rPr>
        <w:t>填报要求：</w:t>
      </w:r>
    </w:p>
    <w:p>
      <w:pPr>
        <w:widowControl w:val="0"/>
        <w:spacing w:line="360" w:lineRule="auto"/>
        <w:jc w:val="both"/>
        <w:rPr>
          <w:rFonts w:ascii="宋体" w:hAnsi="宋体" w:eastAsia="宋体" w:cs="宋体"/>
          <w:color w:val="auto"/>
          <w:highlight w:val="none"/>
        </w:rPr>
      </w:pPr>
      <w:r>
        <w:rPr>
          <w:rFonts w:ascii="宋体" w:hAnsi="宋体" w:eastAsia="宋体" w:cs="宋体"/>
          <w:color w:val="auto"/>
          <w:highlight w:val="none"/>
        </w:rPr>
        <w:t>1.请投标人正确填写本表，并提供表中所需要的证明资料，所填内容将作为评分的依据。其内容或数据应与对应的证明资料相符，如果不一致，可能导致该项的得分为0分。</w:t>
      </w:r>
    </w:p>
    <w:p>
      <w:pPr>
        <w:rPr>
          <w:rFonts w:ascii="宋体" w:hAnsi="宋体" w:eastAsia="宋体" w:cs="宋体"/>
          <w:color w:val="auto"/>
          <w:sz w:val="28"/>
          <w:szCs w:val="28"/>
          <w:highlight w:val="none"/>
        </w:rPr>
      </w:pPr>
      <w:r>
        <w:rPr>
          <w:rFonts w:ascii="宋体" w:hAnsi="宋体" w:eastAsia="宋体" w:cs="宋体"/>
          <w:color w:val="auto"/>
          <w:highlight w:val="none"/>
        </w:rPr>
        <w:t>2. 请投标人根据自身实际情况，在评审项目中对应的“投标人响应情况”列内打“√”。</w:t>
      </w:r>
    </w:p>
    <w:p>
      <w:pPr>
        <w:widowControl w:val="0"/>
        <w:spacing w:line="360" w:lineRule="auto"/>
        <w:ind w:right="80" w:firstLine="4080"/>
        <w:jc w:val="both"/>
        <w:rPr>
          <w:rFonts w:ascii="宋体" w:hAnsi="宋体" w:eastAsia="宋体" w:cs="宋体"/>
          <w:color w:val="auto"/>
          <w:highlight w:val="none"/>
        </w:rPr>
      </w:pPr>
      <w:r>
        <w:rPr>
          <w:rFonts w:ascii="宋体" w:hAnsi="宋体" w:eastAsia="宋体" w:cs="宋体"/>
          <w:color w:val="auto"/>
          <w:highlight w:val="none"/>
        </w:rPr>
        <w:t>投标人名称（单位公章）：</w:t>
      </w:r>
    </w:p>
    <w:p>
      <w:pPr>
        <w:widowControl w:val="0"/>
        <w:spacing w:line="360" w:lineRule="auto"/>
        <w:ind w:right="80" w:firstLine="1920"/>
        <w:jc w:val="both"/>
        <w:rPr>
          <w:rFonts w:ascii="宋体" w:hAnsi="宋体" w:eastAsia="宋体" w:cs="宋体"/>
          <w:color w:val="auto"/>
          <w:highlight w:val="none"/>
        </w:rPr>
      </w:pPr>
      <w:r>
        <w:rPr>
          <w:rFonts w:ascii="宋体" w:hAnsi="宋体" w:eastAsia="宋体" w:cs="宋体"/>
          <w:color w:val="auto"/>
          <w:highlight w:val="none"/>
        </w:rPr>
        <w:t>法定代表人/负责人/委托代理人（签字或盖章）：</w:t>
      </w:r>
    </w:p>
    <w:p>
      <w:pPr>
        <w:jc w:val="right"/>
        <w:rPr>
          <w:color w:val="auto"/>
          <w:highlight w:val="none"/>
        </w:rPr>
      </w:pPr>
      <w:r>
        <w:rPr>
          <w:rFonts w:ascii="宋体" w:hAnsi="宋体" w:eastAsia="宋体" w:cs="宋体"/>
          <w:color w:val="auto"/>
          <w:highlight w:val="none"/>
        </w:rPr>
        <w:t>日期：    年   月   日</w:t>
      </w:r>
    </w:p>
    <w:p>
      <w:pPr>
        <w:keepNext w:val="0"/>
        <w:spacing w:before="75" w:after="75" w:line="480" w:lineRule="atLeast"/>
        <w:jc w:val="both"/>
        <w:rPr>
          <w:rFonts w:ascii="宋体" w:hAnsi="宋体" w:eastAsia="宋体" w:cs="宋体"/>
          <w:iCs w:val="0"/>
          <w:color w:val="auto"/>
          <w:highlight w:val="none"/>
          <w:lang w:eastAsia="zh-CN"/>
        </w:rPr>
      </w:pPr>
      <w:r>
        <w:rPr>
          <w:rFonts w:ascii="宋体" w:hAnsi="宋体" w:eastAsia="宋体" w:cs="宋体"/>
          <w:color w:val="auto"/>
          <w:highlight w:val="none"/>
          <w:lang w:eastAsia="zh-CN"/>
        </w:rPr>
        <w:br w:type="page"/>
      </w:r>
      <w:bookmarkEnd w:id="1"/>
      <w:bookmarkStart w:id="2" w:name="_Toc96944819"/>
    </w:p>
    <w:p>
      <w:pPr>
        <w:pStyle w:val="2"/>
        <w:keepNext w:val="0"/>
        <w:spacing w:before="75" w:after="75" w:line="480" w:lineRule="atLeast"/>
        <w:jc w:val="center"/>
        <w:rPr>
          <w:rFonts w:hint="default" w:ascii="宋体" w:hAnsi="宋体" w:eastAsia="宋体" w:cs="宋体"/>
          <w:color w:val="auto"/>
          <w:highlight w:val="none"/>
          <w:lang w:val="en-US" w:eastAsia="zh-CN"/>
        </w:rPr>
      </w:pPr>
      <w:r>
        <w:rPr>
          <w:rFonts w:ascii="宋体" w:hAnsi="宋体" w:eastAsia="宋体" w:cs="宋体"/>
          <w:iCs w:val="0"/>
          <w:color w:val="auto"/>
          <w:highlight w:val="none"/>
          <w:lang w:eastAsia="zh-CN"/>
        </w:rPr>
        <w:t>★粮库的产权证明或当地县（区）级粮食行政主管部门开具的</w:t>
      </w:r>
      <w:r>
        <w:rPr>
          <w:rFonts w:hint="eastAsia" w:ascii="宋体" w:hAnsi="宋体" w:eastAsia="宋体" w:cs="宋体"/>
          <w:iCs w:val="0"/>
          <w:color w:val="auto"/>
          <w:highlight w:val="none"/>
          <w:lang w:val="en-US" w:eastAsia="zh-CN"/>
        </w:rPr>
        <w:t>产</w:t>
      </w:r>
      <w:r>
        <w:rPr>
          <w:rFonts w:ascii="宋体" w:hAnsi="宋体" w:eastAsia="宋体" w:cs="宋体"/>
          <w:iCs w:val="0"/>
          <w:color w:val="auto"/>
          <w:highlight w:val="none"/>
          <w:lang w:eastAsia="zh-CN"/>
        </w:rPr>
        <w:t>权证明</w:t>
      </w:r>
      <w:bookmarkEnd w:id="2"/>
    </w:p>
    <w:p>
      <w:pPr>
        <w:widowControl w:val="0"/>
        <w:spacing w:after="200" w:line="276" w:lineRule="auto"/>
        <w:jc w:val="both"/>
        <w:rPr>
          <w:rFonts w:ascii="宋体" w:hAnsi="宋体" w:eastAsia="宋体" w:cs="宋体"/>
          <w:color w:val="auto"/>
          <w:sz w:val="21"/>
          <w:szCs w:val="21"/>
          <w:highlight w:val="none"/>
          <w:lang w:eastAsia="zh-CN"/>
        </w:rPr>
      </w:pPr>
    </w:p>
    <w:p>
      <w:pPr>
        <w:widowControl w:val="0"/>
        <w:rPr>
          <w:rFonts w:ascii="宋体" w:hAnsi="宋体" w:eastAsia="宋体" w:cs="宋体"/>
          <w:color w:val="auto"/>
          <w:sz w:val="21"/>
          <w:szCs w:val="21"/>
          <w:highlight w:val="none"/>
          <w:lang w:eastAsia="zh-CN"/>
        </w:rPr>
        <w:sectPr>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sectPr>
      </w:pPr>
      <w:r>
        <w:rPr>
          <w:rFonts w:ascii="宋体" w:hAnsi="宋体" w:eastAsia="宋体" w:cs="宋体"/>
          <w:color w:val="auto"/>
          <w:sz w:val="21"/>
          <w:szCs w:val="21"/>
          <w:highlight w:val="none"/>
          <w:lang w:eastAsia="zh-CN"/>
        </w:rPr>
        <w:t>（请提供相关证明）</w:t>
      </w:r>
    </w:p>
    <w:p>
      <w:pPr>
        <w:pStyle w:val="2"/>
        <w:keepNext w:val="0"/>
        <w:spacing w:before="75" w:after="75" w:line="480" w:lineRule="atLeast"/>
        <w:jc w:val="center"/>
        <w:rPr>
          <w:rFonts w:ascii="宋体" w:hAnsi="宋体" w:eastAsia="宋体" w:cs="宋体"/>
          <w:color w:val="auto"/>
          <w:highlight w:val="none"/>
          <w:lang w:eastAsia="zh-CN"/>
        </w:rPr>
      </w:pPr>
      <w:bookmarkStart w:id="3" w:name="_Toc96944820"/>
      <w:r>
        <w:rPr>
          <w:rFonts w:ascii="宋体" w:hAnsi="宋体" w:eastAsia="宋体" w:cs="宋体"/>
          <w:iCs w:val="0"/>
          <w:color w:val="auto"/>
          <w:highlight w:val="none"/>
          <w:lang w:eastAsia="zh-CN"/>
        </w:rPr>
        <w:t>★广东省粮油仓储单位备案管理登记证或广东省粮油企业管理系统备案证明</w:t>
      </w:r>
      <w:bookmarkEnd w:id="3"/>
    </w:p>
    <w:p>
      <w:pPr>
        <w:widowControl w:val="0"/>
        <w:spacing w:after="200" w:line="276" w:lineRule="auto"/>
        <w:jc w:val="both"/>
        <w:rPr>
          <w:rFonts w:ascii="宋体" w:hAnsi="宋体" w:eastAsia="宋体" w:cs="宋体"/>
          <w:color w:val="auto"/>
          <w:sz w:val="21"/>
          <w:szCs w:val="21"/>
          <w:highlight w:val="none"/>
          <w:lang w:eastAsia="zh-CN"/>
        </w:rPr>
      </w:pPr>
    </w:p>
    <w:p>
      <w:pPr>
        <w:widowControl w:val="0"/>
        <w:rPr>
          <w:rFonts w:ascii="宋体" w:hAnsi="宋体" w:eastAsia="宋体" w:cs="宋体"/>
          <w:color w:val="auto"/>
          <w:sz w:val="21"/>
          <w:szCs w:val="21"/>
          <w:highlight w:val="none"/>
          <w:lang w:eastAsia="zh-CN"/>
        </w:rPr>
        <w:sectPr>
          <w:pgSz w:w="12240" w:h="15840"/>
          <w:pgMar w:top="1440" w:right="1800" w:bottom="1440" w:left="1800" w:header="720" w:footer="720" w:gutter="0"/>
          <w:pgBorders>
            <w:top w:val="none" w:sz="0" w:space="0"/>
            <w:left w:val="none" w:sz="0" w:space="0"/>
            <w:bottom w:val="none" w:sz="0" w:space="0"/>
            <w:right w:val="none" w:sz="0" w:space="0"/>
          </w:pgBorders>
          <w:pgNumType w:fmt="numberInDash"/>
          <w:cols w:space="720" w:num="1"/>
        </w:sectPr>
      </w:pPr>
      <w:r>
        <w:rPr>
          <w:rFonts w:ascii="宋体" w:hAnsi="宋体" w:eastAsia="宋体" w:cs="宋体"/>
          <w:color w:val="auto"/>
          <w:sz w:val="21"/>
          <w:szCs w:val="21"/>
          <w:highlight w:val="none"/>
          <w:lang w:eastAsia="zh-CN"/>
        </w:rPr>
        <w:t>（请提供相关证明）</w:t>
      </w:r>
    </w:p>
    <w:p>
      <w:pPr>
        <w:pStyle w:val="2"/>
        <w:keepNext w:val="0"/>
        <w:spacing w:before="75" w:after="75" w:line="480" w:lineRule="atLeast"/>
        <w:jc w:val="center"/>
        <w:rPr>
          <w:rFonts w:ascii="宋体" w:hAnsi="宋体" w:eastAsia="宋体" w:cs="宋体"/>
          <w:color w:val="auto"/>
          <w:highlight w:val="none"/>
          <w:lang w:eastAsia="zh-CN"/>
        </w:rPr>
      </w:pPr>
      <w:bookmarkStart w:id="4" w:name="_Toc96944821"/>
      <w:r>
        <w:rPr>
          <w:rFonts w:ascii="宋体" w:hAnsi="宋体" w:eastAsia="宋体" w:cs="宋体"/>
          <w:iCs w:val="0"/>
          <w:color w:val="auto"/>
          <w:highlight w:val="none"/>
          <w:lang w:eastAsia="zh-CN"/>
        </w:rPr>
        <w:t>★投标人在中国农业发展银行广东省分行营业部（含下属支行）开设基本账户或一般存款账户的证明文件</w:t>
      </w:r>
      <w:bookmarkEnd w:id="4"/>
    </w:p>
    <w:p>
      <w:pPr>
        <w:widowControl w:val="0"/>
        <w:spacing w:after="200" w:line="276" w:lineRule="auto"/>
        <w:jc w:val="both"/>
        <w:rPr>
          <w:rFonts w:ascii="宋体" w:hAnsi="宋体" w:eastAsia="宋体" w:cs="宋体"/>
          <w:color w:val="auto"/>
          <w:sz w:val="21"/>
          <w:szCs w:val="21"/>
          <w:highlight w:val="none"/>
          <w:lang w:eastAsia="zh-CN"/>
        </w:rPr>
      </w:pPr>
    </w:p>
    <w:p>
      <w:pPr>
        <w:widowControl w:val="0"/>
        <w:spacing w:after="200" w:line="276" w:lineRule="auto"/>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（请提供相关证明）</w:t>
      </w:r>
      <w:r>
        <w:rPr>
          <w:rFonts w:ascii="宋体" w:hAnsi="宋体" w:eastAsia="宋体" w:cs="宋体"/>
          <w:color w:val="auto"/>
          <w:sz w:val="21"/>
          <w:szCs w:val="21"/>
          <w:highlight w:val="none"/>
          <w:lang w:eastAsia="zh-CN"/>
        </w:rPr>
        <w:br w:type="page"/>
      </w:r>
    </w:p>
    <w:p>
      <w:pPr>
        <w:pStyle w:val="2"/>
        <w:keepNext w:val="0"/>
        <w:spacing w:before="75" w:after="75" w:line="480" w:lineRule="atLeast"/>
        <w:jc w:val="center"/>
        <w:rPr>
          <w:rFonts w:ascii="宋体" w:hAnsi="宋体" w:eastAsia="宋体" w:cs="宋体"/>
          <w:color w:val="auto"/>
          <w:highlight w:val="none"/>
          <w:lang w:eastAsia="zh-CN"/>
        </w:rPr>
      </w:pPr>
      <w:bookmarkStart w:id="5" w:name="_Toc96944824"/>
      <w:r>
        <w:rPr>
          <w:rFonts w:ascii="宋体" w:hAnsi="宋体" w:eastAsia="宋体" w:cs="宋体"/>
          <w:iCs w:val="0"/>
          <w:color w:val="auto"/>
          <w:highlight w:val="none"/>
          <w:lang w:eastAsia="zh-CN"/>
        </w:rPr>
        <w:t>公平竞争承诺书</w:t>
      </w:r>
      <w:bookmarkEnd w:id="5"/>
    </w:p>
    <w:p>
      <w:pPr>
        <w:widowControl w:val="0"/>
        <w:spacing w:after="200" w:line="276" w:lineRule="auto"/>
        <w:ind w:firstLine="562"/>
        <w:jc w:val="center"/>
        <w:rPr>
          <w:rFonts w:ascii="宋体" w:hAnsi="宋体" w:eastAsia="宋体" w:cs="宋体"/>
          <w:color w:val="auto"/>
          <w:sz w:val="28"/>
          <w:szCs w:val="28"/>
          <w:highlight w:val="none"/>
          <w:lang w:eastAsia="zh-CN"/>
        </w:rPr>
      </w:pPr>
    </w:p>
    <w:p>
      <w:pPr>
        <w:widowControl w:val="0"/>
        <w:spacing w:after="200" w:line="276" w:lineRule="auto"/>
        <w:ind w:left="480" w:hanging="480"/>
        <w:jc w:val="both"/>
        <w:rPr>
          <w:rFonts w:ascii="宋体" w:hAnsi="宋体" w:eastAsia="宋体" w:cs="宋体"/>
          <w:color w:val="auto"/>
          <w:highlight w:val="none"/>
          <w:lang w:eastAsia="zh-CN"/>
        </w:rPr>
      </w:pPr>
      <w:r>
        <w:rPr>
          <w:rFonts w:ascii="宋体" w:hAnsi="宋体" w:eastAsia="宋体" w:cs="宋体"/>
          <w:b/>
          <w:bCs/>
          <w:color w:val="auto"/>
          <w:spacing w:val="6"/>
          <w:highlight w:val="none"/>
          <w:lang w:eastAsia="zh-CN"/>
        </w:rPr>
        <w:t>广州农村产权交易所有限公司：</w:t>
      </w:r>
    </w:p>
    <w:p>
      <w:pPr>
        <w:widowControl w:val="0"/>
        <w:spacing w:after="200" w:line="360" w:lineRule="auto"/>
        <w:ind w:left="300" w:firstLine="480"/>
        <w:jc w:val="both"/>
        <w:rPr>
          <w:rFonts w:ascii="宋体" w:hAnsi="宋体" w:eastAsia="宋体" w:cs="宋体"/>
          <w:color w:val="auto"/>
          <w:highlight w:val="none"/>
          <w:lang w:eastAsia="zh-CN"/>
        </w:rPr>
      </w:pPr>
      <w:r>
        <w:rPr>
          <w:rFonts w:ascii="宋体" w:hAnsi="宋体" w:eastAsia="宋体" w:cs="宋体"/>
          <w:color w:val="auto"/>
          <w:spacing w:val="6"/>
          <w:highlight w:val="none"/>
          <w:lang w:eastAsia="zh-CN"/>
        </w:rPr>
        <w:t>我方郑重承诺：我方保证所提交的相关资质文件和证明材料的真实性，有良好的历史诚信记录，并将依法参与</w:t>
      </w:r>
      <w:r>
        <w:rPr>
          <w:rFonts w:hint="eastAsia" w:ascii="宋体" w:hAnsi="宋体" w:cs="宋体"/>
          <w:color w:val="auto"/>
          <w:spacing w:val="6"/>
          <w:highlight w:val="none"/>
          <w:lang w:val="en-US" w:eastAsia="zh-CN"/>
        </w:rPr>
        <w:t>2023年</w:t>
      </w:r>
      <w:r>
        <w:rPr>
          <w:rFonts w:hint="default"/>
          <w:color w:val="auto"/>
          <w:highlight w:val="none"/>
          <w:lang w:val="en" w:eastAsia="zh-CN"/>
        </w:rPr>
        <w:t>广州市本级储备粮承储招标采购项目</w:t>
      </w:r>
      <w:r>
        <w:rPr>
          <w:rFonts w:hint="eastAsia"/>
          <w:color w:val="auto"/>
          <w:highlight w:val="none"/>
          <w:lang w:val="en" w:eastAsia="zh-CN"/>
        </w:rPr>
        <w:t>（</w:t>
      </w:r>
      <w:r>
        <w:rPr>
          <w:rFonts w:hint="eastAsia"/>
          <w:color w:val="auto"/>
          <w:highlight w:val="none"/>
          <w:lang w:val="en-US" w:eastAsia="zh-CN"/>
        </w:rPr>
        <w:t>第3次</w:t>
      </w:r>
      <w:r>
        <w:rPr>
          <w:rFonts w:hint="eastAsia"/>
          <w:color w:val="auto"/>
          <w:highlight w:val="none"/>
          <w:lang w:val="en" w:eastAsia="zh-CN"/>
        </w:rPr>
        <w:t>）</w:t>
      </w:r>
      <w:r>
        <w:rPr>
          <w:rFonts w:ascii="宋体" w:hAnsi="宋体" w:eastAsia="宋体" w:cs="宋体"/>
          <w:color w:val="auto"/>
          <w:spacing w:val="6"/>
          <w:highlight w:val="none"/>
          <w:lang w:eastAsia="zh-CN"/>
        </w:rPr>
        <w:t>（</w:t>
      </w:r>
      <w:r>
        <w:rPr>
          <w:rFonts w:ascii="宋体" w:hAnsi="宋体" w:eastAsia="宋体" w:cs="宋体"/>
          <w:color w:val="auto"/>
          <w:highlight w:val="none"/>
          <w:lang w:eastAsia="zh-CN"/>
        </w:rPr>
        <w:t>项目编号：</w:t>
      </w:r>
      <w:r>
        <w:rPr>
          <w:rFonts w:hint="eastAsia" w:ascii="宋体" w:hAnsi="宋体" w:eastAsia="宋体" w:cs="宋体"/>
          <w:color w:val="auto"/>
          <w:highlight w:val="none"/>
          <w:lang w:val="en-US" w:eastAsia="zh-CN"/>
        </w:rPr>
        <w:t>GZ2023LS10000</w:t>
      </w:r>
      <w:r>
        <w:rPr>
          <w:rFonts w:hint="eastAsia" w:ascii="宋体" w:hAnsi="宋体" w:cs="宋体"/>
          <w:color w:val="auto"/>
          <w:highlight w:val="none"/>
          <w:lang w:val="en-US" w:eastAsia="zh-CN"/>
        </w:rPr>
        <w:t>3</w:t>
      </w:r>
      <w:r>
        <w:rPr>
          <w:rFonts w:ascii="宋体" w:hAnsi="宋体" w:eastAsia="宋体" w:cs="宋体"/>
          <w:color w:val="auto"/>
          <w:spacing w:val="6"/>
          <w:highlight w:val="none"/>
          <w:lang w:eastAsia="zh-CN"/>
        </w:rPr>
        <w:t>）的公平竞争，不以任何不正当行为谋取不当利益，否则承担相应的法律责任。</w:t>
      </w:r>
    </w:p>
    <w:p>
      <w:pPr>
        <w:widowControl w:val="0"/>
        <w:spacing w:after="200" w:line="360" w:lineRule="auto"/>
        <w:ind w:left="300" w:firstLine="480"/>
        <w:jc w:val="both"/>
        <w:rPr>
          <w:rFonts w:ascii="宋体" w:hAnsi="宋体" w:eastAsia="宋体" w:cs="宋体"/>
          <w:color w:val="auto"/>
          <w:highlight w:val="none"/>
          <w:lang w:eastAsia="zh-CN"/>
        </w:rPr>
      </w:pPr>
      <w:r>
        <w:rPr>
          <w:rFonts w:ascii="宋体" w:hAnsi="宋体" w:eastAsia="宋体" w:cs="宋体"/>
          <w:color w:val="auto"/>
          <w:spacing w:val="6"/>
          <w:highlight w:val="none"/>
          <w:lang w:eastAsia="zh-CN"/>
        </w:rPr>
        <w:t>特此承诺！</w:t>
      </w:r>
    </w:p>
    <w:p>
      <w:pPr>
        <w:widowControl w:val="0"/>
        <w:spacing w:after="200" w:line="360" w:lineRule="auto"/>
        <w:ind w:right="480"/>
        <w:jc w:val="right"/>
        <w:rPr>
          <w:rFonts w:ascii="宋体" w:hAnsi="宋体" w:eastAsia="宋体" w:cs="宋体"/>
          <w:color w:val="auto"/>
          <w:highlight w:val="none"/>
          <w:lang w:eastAsia="zh-CN"/>
        </w:rPr>
      </w:pPr>
    </w:p>
    <w:p>
      <w:pPr>
        <w:widowControl w:val="0"/>
        <w:spacing w:after="200" w:line="360" w:lineRule="auto"/>
        <w:ind w:right="480"/>
        <w:jc w:val="right"/>
        <w:rPr>
          <w:rFonts w:ascii="宋体" w:hAnsi="宋体" w:eastAsia="宋体" w:cs="宋体"/>
          <w:color w:val="auto"/>
          <w:highlight w:val="none"/>
          <w:lang w:eastAsia="zh-CN"/>
        </w:rPr>
      </w:pPr>
    </w:p>
    <w:p>
      <w:pPr>
        <w:widowControl w:val="0"/>
        <w:spacing w:after="200" w:line="360" w:lineRule="auto"/>
        <w:ind w:right="480"/>
        <w:jc w:val="right"/>
        <w:rPr>
          <w:rFonts w:ascii="宋体" w:hAnsi="宋体" w:eastAsia="宋体" w:cs="宋体"/>
          <w:color w:val="auto"/>
          <w:highlight w:val="none"/>
          <w:lang w:eastAsia="zh-CN"/>
        </w:rPr>
      </w:pPr>
    </w:p>
    <w:p>
      <w:pPr>
        <w:widowControl w:val="0"/>
        <w:spacing w:after="200" w:line="360" w:lineRule="auto"/>
        <w:ind w:right="480"/>
        <w:jc w:val="center"/>
        <w:rPr>
          <w:rFonts w:ascii="宋体" w:hAnsi="宋体" w:eastAsia="宋体" w:cs="宋体"/>
          <w:color w:val="auto"/>
          <w:highlight w:val="none"/>
          <w:lang w:eastAsia="zh-CN"/>
        </w:rPr>
      </w:pPr>
    </w:p>
    <w:p>
      <w:pPr>
        <w:widowControl w:val="0"/>
        <w:spacing w:after="200" w:line="360" w:lineRule="auto"/>
        <w:ind w:right="480"/>
        <w:jc w:val="center"/>
        <w:rPr>
          <w:rFonts w:ascii="宋体" w:hAnsi="宋体" w:eastAsia="宋体" w:cs="宋体"/>
          <w:color w:val="auto"/>
          <w:highlight w:val="none"/>
          <w:lang w:eastAsia="zh-CN"/>
        </w:rPr>
      </w:pPr>
    </w:p>
    <w:p>
      <w:pPr>
        <w:widowControl w:val="0"/>
        <w:spacing w:after="200" w:line="360" w:lineRule="auto"/>
        <w:ind w:left="300" w:firstLine="480"/>
        <w:jc w:val="center"/>
        <w:rPr>
          <w:rFonts w:ascii="宋体" w:hAnsi="宋体" w:eastAsia="宋体" w:cs="宋体"/>
          <w:color w:val="auto"/>
          <w:highlight w:val="none"/>
          <w:lang w:eastAsia="zh-CN"/>
        </w:rPr>
      </w:pPr>
      <w:bookmarkStart w:id="6" w:name="_Toc3279_WPSOffice_Level1"/>
      <w:r>
        <w:rPr>
          <w:rFonts w:ascii="宋体" w:hAnsi="宋体" w:eastAsia="宋体" w:cs="宋体"/>
          <w:color w:val="auto"/>
          <w:spacing w:val="6"/>
          <w:highlight w:val="none"/>
          <w:lang w:eastAsia="zh-CN"/>
        </w:rPr>
        <w:t>法定代表人/授权代表（签名或盖章）：</w:t>
      </w:r>
      <w:bookmarkEnd w:id="6"/>
    </w:p>
    <w:p>
      <w:pPr>
        <w:widowControl w:val="0"/>
        <w:spacing w:after="200" w:line="360" w:lineRule="auto"/>
        <w:ind w:left="300" w:firstLine="480"/>
        <w:jc w:val="center"/>
        <w:rPr>
          <w:rFonts w:ascii="宋体" w:hAnsi="宋体" w:eastAsia="宋体" w:cs="宋体"/>
          <w:color w:val="auto"/>
          <w:highlight w:val="none"/>
          <w:lang w:eastAsia="zh-CN"/>
        </w:rPr>
      </w:pPr>
      <w:r>
        <w:rPr>
          <w:rFonts w:ascii="宋体" w:hAnsi="宋体" w:eastAsia="宋体" w:cs="宋体"/>
          <w:color w:val="auto"/>
          <w:spacing w:val="6"/>
          <w:highlight w:val="none"/>
          <w:lang w:eastAsia="zh-CN"/>
        </w:rPr>
        <w:t xml:space="preserve">           </w:t>
      </w:r>
      <w:bookmarkStart w:id="7" w:name="_Toc15298_WPSOffice_Level1"/>
      <w:r>
        <w:rPr>
          <w:rFonts w:ascii="宋体" w:hAnsi="宋体" w:eastAsia="宋体" w:cs="宋体"/>
          <w:color w:val="auto"/>
          <w:spacing w:val="6"/>
          <w:highlight w:val="none"/>
          <w:lang w:eastAsia="zh-CN"/>
        </w:rPr>
        <w:t>投标人名称（加盖公章）：</w:t>
      </w:r>
      <w:bookmarkEnd w:id="7"/>
    </w:p>
    <w:p>
      <w:pPr>
        <w:widowControl w:val="0"/>
        <w:spacing w:after="200" w:line="360" w:lineRule="auto"/>
        <w:ind w:left="300" w:firstLine="480"/>
        <w:jc w:val="right"/>
        <w:rPr>
          <w:rFonts w:ascii="宋体" w:hAnsi="宋体" w:eastAsia="宋体" w:cs="宋体"/>
          <w:color w:val="auto"/>
          <w:highlight w:val="none"/>
          <w:lang w:eastAsia="zh-CN"/>
        </w:rPr>
      </w:pPr>
    </w:p>
    <w:p>
      <w:pPr>
        <w:widowControl w:val="0"/>
        <w:jc w:val="right"/>
        <w:rPr>
          <w:color w:val="auto"/>
          <w:highlight w:val="none"/>
        </w:rPr>
      </w:pPr>
      <w:r>
        <w:rPr>
          <w:rFonts w:ascii="宋体" w:hAnsi="宋体" w:eastAsia="宋体" w:cs="宋体"/>
          <w:color w:val="auto"/>
          <w:spacing w:val="6"/>
          <w:highlight w:val="none"/>
          <w:lang w:eastAsia="zh-CN"/>
        </w:rPr>
        <w:t>日期：  年  月  日</w:t>
      </w:r>
    </w:p>
    <w:p>
      <w:pPr>
        <w:rPr>
          <w:rFonts w:hint="eastAsia"/>
          <w:color w:val="auto"/>
          <w:highlight w:val="none"/>
          <w:lang w:val="en-US" w:eastAsia="zh-Hans"/>
        </w:rPr>
      </w:pPr>
    </w:p>
    <w:p>
      <w:pPr>
        <w:rPr>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righ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jc w:val="righ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3DEA"/>
    <w:rsid w:val="02863309"/>
    <w:rsid w:val="05FB7E72"/>
    <w:rsid w:val="063D611E"/>
    <w:rsid w:val="06CD18EA"/>
    <w:rsid w:val="0FF92CC5"/>
    <w:rsid w:val="11B171D6"/>
    <w:rsid w:val="1348406B"/>
    <w:rsid w:val="16ED126C"/>
    <w:rsid w:val="16F41F09"/>
    <w:rsid w:val="1A883FC6"/>
    <w:rsid w:val="206A228F"/>
    <w:rsid w:val="207912BE"/>
    <w:rsid w:val="23FA0A40"/>
    <w:rsid w:val="25E7E637"/>
    <w:rsid w:val="29B8658C"/>
    <w:rsid w:val="2EAF2248"/>
    <w:rsid w:val="30807FA4"/>
    <w:rsid w:val="32702584"/>
    <w:rsid w:val="32E300E8"/>
    <w:rsid w:val="33AC7A97"/>
    <w:rsid w:val="353600AC"/>
    <w:rsid w:val="374537CE"/>
    <w:rsid w:val="38294C3E"/>
    <w:rsid w:val="3E30363A"/>
    <w:rsid w:val="3EFC7CE9"/>
    <w:rsid w:val="3FEEC01F"/>
    <w:rsid w:val="40B947C2"/>
    <w:rsid w:val="46223833"/>
    <w:rsid w:val="4DFA2FD9"/>
    <w:rsid w:val="4FC40C45"/>
    <w:rsid w:val="50EB648C"/>
    <w:rsid w:val="51EB7906"/>
    <w:rsid w:val="53455BE9"/>
    <w:rsid w:val="53FF166F"/>
    <w:rsid w:val="5C427FBA"/>
    <w:rsid w:val="5CD5781E"/>
    <w:rsid w:val="5D102417"/>
    <w:rsid w:val="5EFF3CA3"/>
    <w:rsid w:val="607A5726"/>
    <w:rsid w:val="617E02C1"/>
    <w:rsid w:val="61B00AE7"/>
    <w:rsid w:val="62992870"/>
    <w:rsid w:val="631A66AF"/>
    <w:rsid w:val="640F2E25"/>
    <w:rsid w:val="6491270A"/>
    <w:rsid w:val="671D462C"/>
    <w:rsid w:val="67F92EA4"/>
    <w:rsid w:val="6B3FCA90"/>
    <w:rsid w:val="6C0D7E23"/>
    <w:rsid w:val="6F8C3E66"/>
    <w:rsid w:val="72900083"/>
    <w:rsid w:val="730A6704"/>
    <w:rsid w:val="74FE409E"/>
    <w:rsid w:val="753FDA5F"/>
    <w:rsid w:val="7556B7A8"/>
    <w:rsid w:val="75B55AE6"/>
    <w:rsid w:val="77676270"/>
    <w:rsid w:val="7ABD473F"/>
    <w:rsid w:val="7FFFA1AF"/>
    <w:rsid w:val="9FD390D8"/>
    <w:rsid w:val="AD994A60"/>
    <w:rsid w:val="ADFBB4B7"/>
    <w:rsid w:val="BDDB07A6"/>
    <w:rsid w:val="CBDF6A10"/>
    <w:rsid w:val="CF52BE98"/>
    <w:rsid w:val="D7FDD0E8"/>
    <w:rsid w:val="DDB28A5C"/>
    <w:rsid w:val="EE7D23DF"/>
    <w:rsid w:val="F7370CB3"/>
    <w:rsid w:val="F7DD8871"/>
    <w:rsid w:val="FFC3A348"/>
    <w:rsid w:val="FFD93006"/>
    <w:rsid w:val="FFEF143C"/>
    <w:rsid w:val="FFF6D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spacing w:before="240" w:after="60"/>
      <w:outlineLvl w:val="1"/>
    </w:pPr>
    <w:rPr>
      <w:rFonts w:eastAsia="Times New Roman"/>
      <w:b/>
      <w:bCs/>
      <w:iCs/>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2023-01-16T03:11:00Z</dcterms:created>
  <dc:creator>admin</dc:creator>
  <cp:lastModifiedBy>周浩扬</cp:lastModifiedBy>
  <cp:lastPrinted>2023-09-23T08:02:00Z</cp:lastPrinted>
  <dcterms:modified xsi:type="dcterms:W3CDTF">2023-12-26T07:55:35Z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F37863AB81224071A137311D17CA5E26</vt:lpwstr>
  </property>
</Properties>
</file>