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spacing w:line="360" w:lineRule="auto"/>
        <w:rPr>
          <w:rFonts w:ascii="宋体" w:hAnsi="宋体" w:eastAsia="宋体"/>
          <w:color w:val="000000" w:themeColor="text1"/>
          <w:highlight w:val="none"/>
          <w14:textFill>
            <w14:solidFill>
              <w14:schemeClr w14:val="tx1"/>
            </w14:solidFill>
          </w14:textFill>
        </w:rPr>
      </w:pPr>
      <w:bookmarkStart w:id="199" w:name="_GoBack"/>
      <w:bookmarkStart w:id="0" w:name="_Toc134955399"/>
      <w:bookmarkStart w:id="1" w:name="_Toc134956113"/>
      <w:bookmarkStart w:id="2" w:name="_Toc134956025"/>
      <w:bookmarkStart w:id="3" w:name="_Toc175644811"/>
      <w:bookmarkStart w:id="4" w:name="_Toc118083894"/>
      <w:bookmarkStart w:id="5" w:name="_Toc98578990"/>
      <w:bookmarkStart w:id="6" w:name="_Toc98579589"/>
      <w:bookmarkStart w:id="7" w:name="_Toc98579048"/>
      <w:bookmarkStart w:id="8" w:name="_Toc127930770"/>
      <w:bookmarkStart w:id="9" w:name="_Toc98580272"/>
      <w:bookmarkStart w:id="10" w:name="_Toc175644436"/>
      <w:bookmarkStart w:id="11" w:name="_Toc175644383"/>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jc w:val="center"/>
        <w:rPr>
          <w:rFonts w:hint="default" w:ascii="宋体" w:hAnsi="宋体" w:eastAsia="宋体"/>
          <w:b/>
          <w:color w:val="auto"/>
          <w:sz w:val="36"/>
          <w:szCs w:val="36"/>
          <w:highlight w:val="none"/>
          <w:lang w:val="en-US" w:eastAsia="zh-CN"/>
        </w:rPr>
      </w:pPr>
      <w:r>
        <w:rPr>
          <w:rFonts w:hint="eastAsia" w:ascii="宋体" w:hAnsi="宋体"/>
          <w:b/>
          <w:bCs/>
          <w:color w:val="auto"/>
          <w:sz w:val="48"/>
          <w:szCs w:val="48"/>
          <w:highlight w:val="none"/>
          <w:lang w:val="en-US" w:eastAsia="zh-CN"/>
        </w:rPr>
        <w:t>2022年救灾物资紧急采购项目</w:t>
      </w:r>
    </w:p>
    <w:p>
      <w:pPr>
        <w:spacing w:line="360" w:lineRule="auto"/>
        <w:rPr>
          <w:rFonts w:ascii="宋体" w:hAnsi="宋体"/>
          <w:color w:val="000000" w:themeColor="text1"/>
          <w:sz w:val="44"/>
          <w:szCs w:val="24"/>
          <w:highlight w:val="none"/>
          <w14:textFill>
            <w14:solidFill>
              <w14:schemeClr w14:val="tx1"/>
            </w14:solidFill>
          </w14:textFill>
        </w:rPr>
      </w:pPr>
    </w:p>
    <w:p>
      <w:pPr>
        <w:spacing w:line="360" w:lineRule="auto"/>
        <w:rPr>
          <w:rFonts w:ascii="宋体" w:hAnsi="宋体"/>
          <w:color w:val="000000" w:themeColor="text1"/>
          <w:sz w:val="44"/>
          <w:highlight w:val="none"/>
          <w14:textFill>
            <w14:solidFill>
              <w14:schemeClr w14:val="tx1"/>
            </w14:solidFill>
          </w14:textFill>
        </w:rPr>
      </w:pPr>
    </w:p>
    <w:p>
      <w:pPr>
        <w:spacing w:line="360" w:lineRule="auto"/>
        <w:jc w:val="center"/>
        <w:rPr>
          <w:rFonts w:ascii="宋体" w:hAnsi="宋体"/>
          <w:b/>
          <w:color w:val="000000" w:themeColor="text1"/>
          <w:sz w:val="84"/>
          <w:highlight w:val="none"/>
          <w14:textFill>
            <w14:solidFill>
              <w14:schemeClr w14:val="tx1"/>
            </w14:solidFill>
          </w14:textFill>
        </w:rPr>
      </w:pPr>
      <w:r>
        <w:rPr>
          <w:rFonts w:hint="eastAsia" w:ascii="宋体" w:hAnsi="宋体"/>
          <w:b/>
          <w:color w:val="000000" w:themeColor="text1"/>
          <w:sz w:val="84"/>
          <w:highlight w:val="none"/>
          <w14:textFill>
            <w14:solidFill>
              <w14:schemeClr w14:val="tx1"/>
            </w14:solidFill>
          </w14:textFill>
        </w:rPr>
        <w:t>采购须知</w:t>
      </w: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pStyle w:val="175"/>
        <w:rPr>
          <w:highlight w:val="none"/>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ind w:firstLine="1049" w:firstLineChars="328"/>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项目类别：货物类</w:t>
      </w:r>
    </w:p>
    <w:p>
      <w:pPr>
        <w:spacing w:line="360" w:lineRule="auto"/>
        <w:ind w:firstLine="1049" w:firstLineChars="328"/>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采购方式：竞价活动</w:t>
      </w:r>
    </w:p>
    <w:p>
      <w:pPr>
        <w:spacing w:line="360" w:lineRule="auto"/>
        <w:ind w:firstLine="1049" w:firstLineChars="328"/>
        <w:rPr>
          <w:rFonts w:hint="eastAsia"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项目编号：GZ2022JZ10002</w:t>
      </w:r>
    </w:p>
    <w:p>
      <w:pPr>
        <w:spacing w:line="360" w:lineRule="auto"/>
        <w:ind w:firstLine="1049" w:firstLineChars="328"/>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采购人：广州市储备粮管理中心</w:t>
      </w:r>
    </w:p>
    <w:p>
      <w:pPr>
        <w:spacing w:line="360" w:lineRule="auto"/>
        <w:ind w:firstLine="1049" w:firstLineChars="328"/>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采购代理机构：广州农村产权交易所有限公司</w:t>
      </w:r>
    </w:p>
    <w:p>
      <w:pPr>
        <w:spacing w:line="360" w:lineRule="auto"/>
        <w:ind w:firstLine="1049" w:firstLineChars="328"/>
        <w:jc w:val="center"/>
        <w:rPr>
          <w:rFonts w:ascii="宋体" w:hAnsi="宋体"/>
          <w:color w:val="000000" w:themeColor="text1"/>
          <w:sz w:val="32"/>
          <w:szCs w:val="32"/>
          <w:highlight w:val="none"/>
          <w14:textFill>
            <w14:solidFill>
              <w14:schemeClr w14:val="tx1"/>
            </w14:solidFill>
          </w14:textFill>
        </w:rPr>
      </w:pPr>
    </w:p>
    <w:p>
      <w:pPr>
        <w:spacing w:line="360" w:lineRule="auto"/>
        <w:ind w:firstLine="1049" w:firstLineChars="328"/>
        <w:jc w:val="center"/>
        <w:rPr>
          <w:rFonts w:ascii="宋体" w:hAnsi="宋体"/>
          <w:color w:val="000000" w:themeColor="text1"/>
          <w:sz w:val="32"/>
          <w:szCs w:val="32"/>
          <w:highlight w:val="none"/>
          <w14:textFill>
            <w14:solidFill>
              <w14:schemeClr w14:val="tx1"/>
            </w14:solidFill>
          </w14:textFill>
        </w:rPr>
      </w:pPr>
    </w:p>
    <w:p>
      <w:pPr>
        <w:spacing w:line="360" w:lineRule="auto"/>
        <w:ind w:firstLine="1049" w:firstLineChars="328"/>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二</w:t>
      </w:r>
      <w:r>
        <w:rPr>
          <w:rFonts w:hint="eastAsia" w:ascii="宋体" w:hAnsi="宋体" w:cs="微软雅黑"/>
          <w:color w:val="000000" w:themeColor="text1"/>
          <w:sz w:val="32"/>
          <w:szCs w:val="32"/>
          <w:highlight w:val="none"/>
          <w14:textFill>
            <w14:solidFill>
              <w14:schemeClr w14:val="tx1"/>
            </w14:solidFill>
          </w14:textFill>
        </w:rPr>
        <w:t>〇</w:t>
      </w:r>
      <w:r>
        <w:rPr>
          <w:rFonts w:hint="eastAsia" w:ascii="宋体" w:hAnsi="宋体"/>
          <w:color w:val="000000" w:themeColor="text1"/>
          <w:sz w:val="32"/>
          <w:szCs w:val="32"/>
          <w:highlight w:val="none"/>
          <w14:textFill>
            <w14:solidFill>
              <w14:schemeClr w14:val="tx1"/>
            </w14:solidFill>
          </w14:textFill>
        </w:rPr>
        <w:t>二</w:t>
      </w:r>
      <w:r>
        <w:rPr>
          <w:rFonts w:hint="eastAsia" w:ascii="宋体" w:hAnsi="宋体" w:cs="微软雅黑"/>
          <w:color w:val="000000" w:themeColor="text1"/>
          <w:sz w:val="32"/>
          <w:szCs w:val="32"/>
          <w:highlight w:val="none"/>
          <w14:textFill>
            <w14:solidFill>
              <w14:schemeClr w14:val="tx1"/>
            </w14:solidFill>
          </w14:textFill>
        </w:rPr>
        <w:t>二</w:t>
      </w:r>
      <w:r>
        <w:rPr>
          <w:rFonts w:hint="eastAsia" w:ascii="宋体" w:hAnsi="宋体"/>
          <w:color w:val="000000" w:themeColor="text1"/>
          <w:sz w:val="32"/>
          <w:szCs w:val="32"/>
          <w:highlight w:val="none"/>
          <w14:textFill>
            <w14:solidFill>
              <w14:schemeClr w14:val="tx1"/>
            </w14:solidFill>
          </w14:textFill>
        </w:rPr>
        <w:t>年</w:t>
      </w:r>
      <w:r>
        <w:rPr>
          <w:rFonts w:hint="eastAsia" w:ascii="宋体" w:hAnsi="宋体"/>
          <w:color w:val="000000" w:themeColor="text1"/>
          <w:sz w:val="32"/>
          <w:szCs w:val="32"/>
          <w:highlight w:val="none"/>
          <w:lang w:val="en-US" w:eastAsia="zh-CN"/>
          <w14:textFill>
            <w14:solidFill>
              <w14:schemeClr w14:val="tx1"/>
            </w14:solidFill>
          </w14:textFill>
        </w:rPr>
        <w:t>十一</w:t>
      </w:r>
      <w:r>
        <w:rPr>
          <w:rFonts w:hint="eastAsia" w:ascii="宋体" w:hAnsi="宋体"/>
          <w:color w:val="000000" w:themeColor="text1"/>
          <w:sz w:val="32"/>
          <w:szCs w:val="32"/>
          <w:highlight w:val="none"/>
          <w14:textFill>
            <w14:solidFill>
              <w14:schemeClr w14:val="tx1"/>
            </w14:solidFill>
          </w14:textFill>
        </w:rPr>
        <w:t>月</w:t>
      </w:r>
    </w:p>
    <w:p>
      <w:pPr>
        <w:tabs>
          <w:tab w:val="center" w:pos="4706"/>
          <w:tab w:val="left" w:pos="7200"/>
        </w:tabs>
        <w:spacing w:line="360" w:lineRule="auto"/>
        <w:rPr>
          <w:rFonts w:ascii="宋体" w:hAnsi="宋体"/>
          <w:b/>
          <w:color w:val="000000" w:themeColor="text1"/>
          <w:sz w:val="32"/>
          <w:szCs w:val="32"/>
          <w:highlight w:val="none"/>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18" w:right="1247" w:bottom="1418" w:left="1247" w:header="851" w:footer="992" w:gutter="0"/>
          <w:pgNumType w:start="0"/>
          <w:cols w:space="720" w:num="1"/>
          <w:titlePg/>
          <w:docGrid w:type="lines" w:linePitch="312" w:charSpace="0"/>
        </w:sectPr>
      </w:pPr>
    </w:p>
    <w:p>
      <w:pPr>
        <w:tabs>
          <w:tab w:val="center" w:pos="4706"/>
          <w:tab w:val="left" w:pos="7200"/>
        </w:tabs>
        <w:spacing w:line="360" w:lineRule="auto"/>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ab/>
      </w:r>
      <w:r>
        <w:rPr>
          <w:rFonts w:hint="eastAsia" w:ascii="宋体" w:hAnsi="宋体"/>
          <w:b/>
          <w:color w:val="000000" w:themeColor="text1"/>
          <w:sz w:val="32"/>
          <w:szCs w:val="32"/>
          <w:highlight w:val="none"/>
          <w14:textFill>
            <w14:solidFill>
              <w14:schemeClr w14:val="tx1"/>
            </w14:solidFill>
          </w14:textFill>
        </w:rPr>
        <w:t>目  录</w:t>
      </w:r>
      <w:bookmarkEnd w:id="0"/>
      <w:bookmarkEnd w:id="1"/>
      <w:bookmarkEnd w:id="2"/>
      <w:bookmarkEnd w:id="3"/>
      <w:bookmarkEnd w:id="4"/>
      <w:r>
        <w:rPr>
          <w:rFonts w:hint="eastAsia" w:ascii="宋体" w:hAnsi="宋体"/>
          <w:b/>
          <w:color w:val="000000" w:themeColor="text1"/>
          <w:sz w:val="32"/>
          <w:szCs w:val="32"/>
          <w:highlight w:val="none"/>
          <w14:textFill>
            <w14:solidFill>
              <w14:schemeClr w14:val="tx1"/>
            </w14:solidFill>
          </w14:textFill>
        </w:rPr>
        <w:tab/>
      </w:r>
    </w:p>
    <w:bookmarkEnd w:id="5"/>
    <w:bookmarkEnd w:id="6"/>
    <w:bookmarkEnd w:id="7"/>
    <w:bookmarkEnd w:id="8"/>
    <w:bookmarkEnd w:id="9"/>
    <w:p>
      <w:pPr>
        <w:pStyle w:val="27"/>
        <w:tabs>
          <w:tab w:val="right" w:leader="dot" w:pos="8640"/>
        </w:tabs>
        <w:rPr>
          <w:highlight w:val="none"/>
        </w:rPr>
      </w:pPr>
      <w:bookmarkStart w:id="12" w:name="_Toc175644384"/>
      <w:r>
        <w:rPr>
          <w:rFonts w:hAnsi="宋体"/>
          <w:b/>
          <w:bCs/>
          <w:color w:val="000000" w:themeColor="text1"/>
          <w:sz w:val="24"/>
          <w:szCs w:val="24"/>
          <w:highlight w:val="none"/>
          <w14:textFill>
            <w14:solidFill>
              <w14:schemeClr w14:val="tx1"/>
            </w14:solidFill>
          </w14:textFill>
        </w:rPr>
        <w:fldChar w:fldCharType="begin"/>
      </w:r>
      <w:r>
        <w:rPr>
          <w:rFonts w:hAnsi="宋体"/>
          <w:b/>
          <w:bCs/>
          <w:color w:val="000000" w:themeColor="text1"/>
          <w:sz w:val="24"/>
          <w:szCs w:val="24"/>
          <w:highlight w:val="none"/>
          <w14:textFill>
            <w14:solidFill>
              <w14:schemeClr w14:val="tx1"/>
            </w14:solidFill>
          </w14:textFill>
        </w:rPr>
        <w:instrText xml:space="preserve"> TOC \o "1-2" \h \z \u </w:instrText>
      </w:r>
      <w:r>
        <w:rPr>
          <w:rFonts w:hAnsi="宋体"/>
          <w:b/>
          <w:bCs/>
          <w:color w:val="000000" w:themeColor="text1"/>
          <w:sz w:val="24"/>
          <w:szCs w:val="24"/>
          <w:highlight w:val="none"/>
          <w14:textFill>
            <w14:solidFill>
              <w14:schemeClr w14:val="tx1"/>
            </w14:solidFill>
          </w14:textFill>
        </w:rPr>
        <w:fldChar w:fldCharType="separate"/>
      </w:r>
      <w:r>
        <w:rPr>
          <w:rFonts w:hAnsi="宋体"/>
          <w:bCs/>
          <w:color w:val="000000" w:themeColor="text1"/>
          <w:szCs w:val="24"/>
          <w:highlight w:val="none"/>
          <w14:textFill>
            <w14:solidFill>
              <w14:schemeClr w14:val="tx1"/>
            </w14:solidFill>
          </w14:textFill>
        </w:rPr>
        <w:fldChar w:fldCharType="begin"/>
      </w:r>
      <w:r>
        <w:rPr>
          <w:rFonts w:hAnsi="宋体"/>
          <w:bCs/>
          <w:szCs w:val="24"/>
          <w:highlight w:val="none"/>
        </w:rPr>
        <w:instrText xml:space="preserve"> HYPERLINK \l _Toc18810 </w:instrText>
      </w:r>
      <w:r>
        <w:rPr>
          <w:rFonts w:hAnsi="宋体"/>
          <w:bCs/>
          <w:szCs w:val="24"/>
          <w:highlight w:val="none"/>
        </w:rPr>
        <w:fldChar w:fldCharType="separate"/>
      </w:r>
      <w:r>
        <w:rPr>
          <w:rFonts w:hint="eastAsia" w:ascii="宋体" w:hAnsi="宋体"/>
          <w:szCs w:val="30"/>
          <w:highlight w:val="none"/>
        </w:rPr>
        <w:t>采购公告</w:t>
      </w:r>
      <w:r>
        <w:rPr>
          <w:highlight w:val="none"/>
        </w:rPr>
        <w:tab/>
      </w:r>
      <w:r>
        <w:rPr>
          <w:highlight w:val="none"/>
        </w:rPr>
        <w:fldChar w:fldCharType="begin"/>
      </w:r>
      <w:r>
        <w:rPr>
          <w:highlight w:val="none"/>
        </w:rPr>
        <w:instrText xml:space="preserve"> PAGEREF _Toc18810 \h </w:instrText>
      </w:r>
      <w:r>
        <w:rPr>
          <w:highlight w:val="none"/>
        </w:rPr>
        <w:fldChar w:fldCharType="separate"/>
      </w:r>
      <w:r>
        <w:rPr>
          <w:highlight w:val="none"/>
        </w:rPr>
        <w:t>2</w:t>
      </w:r>
      <w:r>
        <w:rPr>
          <w:highlight w:val="none"/>
        </w:rPr>
        <w:fldChar w:fldCharType="end"/>
      </w:r>
      <w:r>
        <w:rPr>
          <w:rFonts w:hAnsi="宋体"/>
          <w:bCs/>
          <w:color w:val="000000" w:themeColor="text1"/>
          <w:szCs w:val="24"/>
          <w:highlight w:val="none"/>
          <w14:textFill>
            <w14:solidFill>
              <w14:schemeClr w14:val="tx1"/>
            </w14:solidFill>
          </w14:textFill>
        </w:rPr>
        <w:fldChar w:fldCharType="end"/>
      </w:r>
    </w:p>
    <w:p>
      <w:pPr>
        <w:pStyle w:val="27"/>
        <w:tabs>
          <w:tab w:val="right" w:leader="dot" w:pos="8640"/>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_Toc11694 </w:instrText>
      </w:r>
      <w:r>
        <w:rPr>
          <w:rFonts w:ascii="宋体" w:hAnsi="宋体"/>
          <w:bCs w:val="0"/>
          <w:kern w:val="0"/>
          <w:szCs w:val="24"/>
          <w:highlight w:val="none"/>
        </w:rPr>
        <w:fldChar w:fldCharType="separate"/>
      </w:r>
      <w:r>
        <w:rPr>
          <w:rFonts w:hint="eastAsia" w:ascii="宋体" w:hAnsi="宋体"/>
          <w:szCs w:val="30"/>
          <w:highlight w:val="none"/>
        </w:rPr>
        <w:t>第一章 竞投人须知</w:t>
      </w:r>
      <w:r>
        <w:rPr>
          <w:highlight w:val="none"/>
        </w:rPr>
        <w:tab/>
      </w:r>
      <w:r>
        <w:rPr>
          <w:highlight w:val="none"/>
        </w:rPr>
        <w:fldChar w:fldCharType="begin"/>
      </w:r>
      <w:r>
        <w:rPr>
          <w:highlight w:val="none"/>
        </w:rPr>
        <w:instrText xml:space="preserve"> PAGEREF _Toc11694 \h </w:instrText>
      </w:r>
      <w:r>
        <w:rPr>
          <w:highlight w:val="none"/>
        </w:rPr>
        <w:fldChar w:fldCharType="separate"/>
      </w:r>
      <w:r>
        <w:rPr>
          <w:highlight w:val="none"/>
        </w:rPr>
        <w:t>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_Toc29128 </w:instrText>
      </w:r>
      <w:r>
        <w:rPr>
          <w:rFonts w:ascii="宋体" w:hAnsi="宋体"/>
          <w:bCs w:val="0"/>
          <w:kern w:val="0"/>
          <w:szCs w:val="24"/>
          <w:highlight w:val="none"/>
        </w:rPr>
        <w:fldChar w:fldCharType="separate"/>
      </w:r>
      <w:r>
        <w:rPr>
          <w:rFonts w:hint="eastAsia" w:hAnsi="宋体" w:cs="Times New Roman"/>
          <w:szCs w:val="24"/>
          <w:highlight w:val="none"/>
        </w:rPr>
        <w:t>一、说明</w:t>
      </w:r>
      <w:r>
        <w:rPr>
          <w:highlight w:val="none"/>
        </w:rPr>
        <w:tab/>
      </w:r>
      <w:r>
        <w:rPr>
          <w:highlight w:val="none"/>
        </w:rPr>
        <w:fldChar w:fldCharType="begin"/>
      </w:r>
      <w:r>
        <w:rPr>
          <w:highlight w:val="none"/>
        </w:rPr>
        <w:instrText xml:space="preserve"> PAGEREF _Toc29128 \h </w:instrText>
      </w:r>
      <w:r>
        <w:rPr>
          <w:highlight w:val="none"/>
        </w:rPr>
        <w:fldChar w:fldCharType="separate"/>
      </w:r>
      <w:r>
        <w:rPr>
          <w:highlight w:val="none"/>
        </w:rPr>
        <w:t>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_Toc21771 </w:instrText>
      </w:r>
      <w:r>
        <w:rPr>
          <w:rFonts w:ascii="宋体" w:hAnsi="宋体"/>
          <w:bCs w:val="0"/>
          <w:kern w:val="0"/>
          <w:szCs w:val="24"/>
          <w:highlight w:val="none"/>
        </w:rPr>
        <w:fldChar w:fldCharType="separate"/>
      </w:r>
      <w:r>
        <w:rPr>
          <w:rFonts w:hint="eastAsia" w:hAnsi="宋体" w:cs="Times New Roman"/>
          <w:szCs w:val="24"/>
          <w:highlight w:val="none"/>
        </w:rPr>
        <w:t>二、定义</w:t>
      </w:r>
      <w:r>
        <w:rPr>
          <w:highlight w:val="none"/>
        </w:rPr>
        <w:tab/>
      </w:r>
      <w:r>
        <w:rPr>
          <w:highlight w:val="none"/>
        </w:rPr>
        <w:fldChar w:fldCharType="begin"/>
      </w:r>
      <w:r>
        <w:rPr>
          <w:highlight w:val="none"/>
        </w:rPr>
        <w:instrText xml:space="preserve"> PAGEREF _Toc21771 \h </w:instrText>
      </w:r>
      <w:r>
        <w:rPr>
          <w:highlight w:val="none"/>
        </w:rPr>
        <w:fldChar w:fldCharType="separate"/>
      </w:r>
      <w:r>
        <w:rPr>
          <w:highlight w:val="none"/>
        </w:rPr>
        <w:t>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_Toc22397 </w:instrText>
      </w:r>
      <w:r>
        <w:rPr>
          <w:rFonts w:ascii="宋体" w:hAnsi="宋体"/>
          <w:bCs w:val="0"/>
          <w:kern w:val="0"/>
          <w:szCs w:val="24"/>
          <w:highlight w:val="none"/>
        </w:rPr>
        <w:fldChar w:fldCharType="separate"/>
      </w:r>
      <w:r>
        <w:rPr>
          <w:rFonts w:hint="eastAsia" w:hAnsi="宋体" w:cs="Times New Roman"/>
          <w:szCs w:val="24"/>
          <w:highlight w:val="none"/>
        </w:rPr>
        <w:t>三、采购须知</w:t>
      </w:r>
      <w:r>
        <w:rPr>
          <w:highlight w:val="none"/>
        </w:rPr>
        <w:tab/>
      </w:r>
      <w:r>
        <w:rPr>
          <w:highlight w:val="none"/>
        </w:rPr>
        <w:fldChar w:fldCharType="begin"/>
      </w:r>
      <w:r>
        <w:rPr>
          <w:highlight w:val="none"/>
        </w:rPr>
        <w:instrText xml:space="preserve"> PAGEREF _Toc22397 \h </w:instrText>
      </w:r>
      <w:r>
        <w:rPr>
          <w:highlight w:val="none"/>
        </w:rPr>
        <w:fldChar w:fldCharType="separate"/>
      </w:r>
      <w:r>
        <w:rPr>
          <w:highlight w:val="none"/>
        </w:rPr>
        <w:t>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_Toc23210 </w:instrText>
      </w:r>
      <w:r>
        <w:rPr>
          <w:rFonts w:ascii="宋体" w:hAnsi="宋体"/>
          <w:bCs w:val="0"/>
          <w:kern w:val="0"/>
          <w:szCs w:val="24"/>
          <w:highlight w:val="none"/>
        </w:rPr>
        <w:fldChar w:fldCharType="separate"/>
      </w:r>
      <w:r>
        <w:rPr>
          <w:rFonts w:hint="eastAsia" w:hAnsi="宋体" w:cs="Times New Roman"/>
          <w:szCs w:val="24"/>
          <w:highlight w:val="none"/>
        </w:rPr>
        <w:t>四、一般要求</w:t>
      </w:r>
      <w:r>
        <w:rPr>
          <w:highlight w:val="none"/>
        </w:rPr>
        <w:tab/>
      </w:r>
      <w:r>
        <w:rPr>
          <w:highlight w:val="none"/>
        </w:rPr>
        <w:fldChar w:fldCharType="begin"/>
      </w:r>
      <w:r>
        <w:rPr>
          <w:highlight w:val="none"/>
        </w:rPr>
        <w:instrText xml:space="preserve"> PAGEREF _Toc23210 \h </w:instrText>
      </w:r>
      <w:r>
        <w:rPr>
          <w:highlight w:val="none"/>
        </w:rPr>
        <w:fldChar w:fldCharType="separate"/>
      </w:r>
      <w:r>
        <w:rPr>
          <w:highlight w:val="none"/>
        </w:rPr>
        <w:t>7</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_Toc17421 </w:instrText>
      </w:r>
      <w:r>
        <w:rPr>
          <w:rFonts w:ascii="宋体" w:hAnsi="宋体"/>
          <w:bCs w:val="0"/>
          <w:kern w:val="0"/>
          <w:szCs w:val="24"/>
          <w:highlight w:val="none"/>
        </w:rPr>
        <w:fldChar w:fldCharType="separate"/>
      </w:r>
      <w:r>
        <w:rPr>
          <w:rFonts w:hint="eastAsia" w:hAnsi="宋体" w:cs="Times New Roman"/>
          <w:highlight w:val="none"/>
        </w:rPr>
        <w:t>五、质疑与投诉</w:t>
      </w:r>
      <w:r>
        <w:rPr>
          <w:highlight w:val="none"/>
        </w:rPr>
        <w:tab/>
      </w:r>
      <w:r>
        <w:rPr>
          <w:highlight w:val="none"/>
        </w:rPr>
        <w:fldChar w:fldCharType="begin"/>
      </w:r>
      <w:r>
        <w:rPr>
          <w:highlight w:val="none"/>
        </w:rPr>
        <w:instrText xml:space="preserve"> PAGEREF _Toc17421 \h </w:instrText>
      </w:r>
      <w:r>
        <w:rPr>
          <w:highlight w:val="none"/>
        </w:rPr>
        <w:fldChar w:fldCharType="separate"/>
      </w:r>
      <w:r>
        <w:rPr>
          <w:highlight w:val="none"/>
        </w:rPr>
        <w:t>10</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_Toc14291 </w:instrText>
      </w:r>
      <w:r>
        <w:rPr>
          <w:rFonts w:ascii="宋体" w:hAnsi="宋体"/>
          <w:bCs w:val="0"/>
          <w:kern w:val="0"/>
          <w:szCs w:val="24"/>
          <w:highlight w:val="none"/>
        </w:rPr>
        <w:fldChar w:fldCharType="separate"/>
      </w:r>
      <w:r>
        <w:rPr>
          <w:rFonts w:hint="eastAsia" w:hAnsi="宋体" w:cs="Times New Roman"/>
          <w:szCs w:val="24"/>
          <w:highlight w:val="none"/>
        </w:rPr>
        <w:t>六、竞价文件</w:t>
      </w:r>
      <w:r>
        <w:rPr>
          <w:highlight w:val="none"/>
        </w:rPr>
        <w:tab/>
      </w:r>
      <w:r>
        <w:rPr>
          <w:highlight w:val="none"/>
        </w:rPr>
        <w:fldChar w:fldCharType="begin"/>
      </w:r>
      <w:r>
        <w:rPr>
          <w:highlight w:val="none"/>
        </w:rPr>
        <w:instrText xml:space="preserve"> PAGEREF _Toc14291 \h </w:instrText>
      </w:r>
      <w:r>
        <w:rPr>
          <w:highlight w:val="none"/>
        </w:rPr>
        <w:fldChar w:fldCharType="separate"/>
      </w:r>
      <w:r>
        <w:rPr>
          <w:highlight w:val="none"/>
        </w:rPr>
        <w:t>10</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27"/>
        <w:tabs>
          <w:tab w:val="right" w:leader="dot" w:pos="8640"/>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_Toc29342 </w:instrText>
      </w:r>
      <w:r>
        <w:rPr>
          <w:rFonts w:ascii="宋体" w:hAnsi="宋体"/>
          <w:bCs w:val="0"/>
          <w:kern w:val="0"/>
          <w:szCs w:val="24"/>
          <w:highlight w:val="none"/>
        </w:rPr>
        <w:fldChar w:fldCharType="separate"/>
      </w:r>
      <w:r>
        <w:rPr>
          <w:rFonts w:hint="eastAsia" w:ascii="宋体" w:hAnsi="宋体"/>
          <w:szCs w:val="30"/>
          <w:highlight w:val="none"/>
        </w:rPr>
        <w:t>第二章 用户需求书</w:t>
      </w:r>
      <w:r>
        <w:rPr>
          <w:highlight w:val="none"/>
        </w:rPr>
        <w:tab/>
      </w:r>
      <w:r>
        <w:rPr>
          <w:highlight w:val="none"/>
        </w:rPr>
        <w:fldChar w:fldCharType="begin"/>
      </w:r>
      <w:r>
        <w:rPr>
          <w:highlight w:val="none"/>
        </w:rPr>
        <w:instrText xml:space="preserve"> PAGEREF _Toc29342 \h </w:instrText>
      </w:r>
      <w:r>
        <w:rPr>
          <w:highlight w:val="none"/>
        </w:rPr>
        <w:fldChar w:fldCharType="separate"/>
      </w:r>
      <w:r>
        <w:rPr>
          <w:highlight w:val="none"/>
        </w:rPr>
        <w:t>13</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27"/>
        <w:tabs>
          <w:tab w:val="right" w:leader="dot" w:pos="8640"/>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_Toc19989 </w:instrText>
      </w:r>
      <w:r>
        <w:rPr>
          <w:rFonts w:ascii="宋体" w:hAnsi="宋体"/>
          <w:bCs w:val="0"/>
          <w:kern w:val="0"/>
          <w:szCs w:val="24"/>
          <w:highlight w:val="none"/>
        </w:rPr>
        <w:fldChar w:fldCharType="separate"/>
      </w:r>
      <w:r>
        <w:rPr>
          <w:rFonts w:hint="eastAsia" w:ascii="宋体" w:hAnsi="宋体" w:cs="Times New Roman"/>
          <w:szCs w:val="30"/>
          <w:highlight w:val="none"/>
        </w:rPr>
        <w:t>第三章 合同格式</w:t>
      </w:r>
      <w:r>
        <w:rPr>
          <w:highlight w:val="none"/>
        </w:rPr>
        <w:tab/>
      </w:r>
      <w:r>
        <w:rPr>
          <w:highlight w:val="none"/>
        </w:rPr>
        <w:fldChar w:fldCharType="begin"/>
      </w:r>
      <w:r>
        <w:rPr>
          <w:highlight w:val="none"/>
        </w:rPr>
        <w:instrText xml:space="preserve"> PAGEREF _Toc19989 \h </w:instrText>
      </w:r>
      <w:r>
        <w:rPr>
          <w:highlight w:val="none"/>
        </w:rPr>
        <w:fldChar w:fldCharType="separate"/>
      </w:r>
      <w:r>
        <w:rPr>
          <w:highlight w:val="none"/>
        </w:rPr>
        <w:t>18</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27"/>
        <w:tabs>
          <w:tab w:val="right" w:leader="dot" w:pos="8640"/>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_Toc28059 </w:instrText>
      </w:r>
      <w:r>
        <w:rPr>
          <w:rFonts w:ascii="宋体" w:hAnsi="宋体"/>
          <w:bCs w:val="0"/>
          <w:kern w:val="0"/>
          <w:szCs w:val="24"/>
          <w:highlight w:val="none"/>
        </w:rPr>
        <w:fldChar w:fldCharType="separate"/>
      </w:r>
      <w:r>
        <w:rPr>
          <w:rFonts w:hint="eastAsia" w:ascii="宋体" w:hAnsi="宋体"/>
          <w:szCs w:val="30"/>
          <w:highlight w:val="none"/>
        </w:rPr>
        <w:t xml:space="preserve">第四章 </w:t>
      </w:r>
      <w:r>
        <w:rPr>
          <w:rFonts w:hint="eastAsia" w:ascii="宋体" w:hAnsi="宋体"/>
          <w:bCs/>
          <w:szCs w:val="30"/>
          <w:highlight w:val="none"/>
        </w:rPr>
        <w:t>交易方式、竞价</w:t>
      </w:r>
      <w:r>
        <w:rPr>
          <w:rFonts w:hint="eastAsia" w:ascii="宋体" w:hAnsi="宋体"/>
          <w:szCs w:val="30"/>
          <w:highlight w:val="none"/>
        </w:rPr>
        <w:t>程序和定标</w:t>
      </w:r>
      <w:r>
        <w:rPr>
          <w:highlight w:val="none"/>
        </w:rPr>
        <w:tab/>
      </w:r>
      <w:r>
        <w:rPr>
          <w:highlight w:val="none"/>
        </w:rPr>
        <w:fldChar w:fldCharType="begin"/>
      </w:r>
      <w:r>
        <w:rPr>
          <w:highlight w:val="none"/>
        </w:rPr>
        <w:instrText xml:space="preserve"> PAGEREF _Toc28059 \h </w:instrText>
      </w:r>
      <w:r>
        <w:rPr>
          <w:highlight w:val="none"/>
        </w:rPr>
        <w:fldChar w:fldCharType="separate"/>
      </w:r>
      <w:r>
        <w:rPr>
          <w:highlight w:val="none"/>
        </w:rPr>
        <w:t>26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_Toc14580 </w:instrText>
      </w:r>
      <w:r>
        <w:rPr>
          <w:rFonts w:ascii="宋体" w:hAnsi="宋体"/>
          <w:bCs w:val="0"/>
          <w:kern w:val="0"/>
          <w:szCs w:val="24"/>
          <w:highlight w:val="none"/>
        </w:rPr>
        <w:fldChar w:fldCharType="separate"/>
      </w:r>
      <w:r>
        <w:rPr>
          <w:rFonts w:hint="eastAsia" w:ascii="宋体" w:hAnsi="宋体"/>
          <w:bCs/>
          <w:szCs w:val="24"/>
          <w:highlight w:val="none"/>
          <w:lang w:val="en-US"/>
        </w:rPr>
        <w:t xml:space="preserve">一、 </w:t>
      </w:r>
      <w:r>
        <w:rPr>
          <w:rFonts w:hint="eastAsia" w:ascii="宋体" w:hAnsi="宋体"/>
          <w:bCs/>
          <w:szCs w:val="24"/>
          <w:highlight w:val="none"/>
        </w:rPr>
        <w:t>交易方式</w:t>
      </w:r>
      <w:r>
        <w:rPr>
          <w:highlight w:val="none"/>
        </w:rPr>
        <w:tab/>
      </w:r>
      <w:r>
        <w:rPr>
          <w:highlight w:val="none"/>
        </w:rPr>
        <w:fldChar w:fldCharType="begin"/>
      </w:r>
      <w:r>
        <w:rPr>
          <w:highlight w:val="none"/>
        </w:rPr>
        <w:instrText xml:space="preserve"> PAGEREF _Toc14580 \h </w:instrText>
      </w:r>
      <w:r>
        <w:rPr>
          <w:highlight w:val="none"/>
        </w:rPr>
        <w:fldChar w:fldCharType="separate"/>
      </w:r>
      <w:r>
        <w:rPr>
          <w:highlight w:val="none"/>
        </w:rPr>
        <w:t>26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_Toc23063 </w:instrText>
      </w:r>
      <w:r>
        <w:rPr>
          <w:rFonts w:ascii="宋体" w:hAnsi="宋体"/>
          <w:bCs w:val="0"/>
          <w:kern w:val="0"/>
          <w:szCs w:val="24"/>
          <w:highlight w:val="none"/>
        </w:rPr>
        <w:fldChar w:fldCharType="separate"/>
      </w:r>
      <w:r>
        <w:rPr>
          <w:rFonts w:hint="eastAsia" w:ascii="宋体" w:hAnsi="宋体"/>
          <w:szCs w:val="24"/>
          <w:highlight w:val="none"/>
          <w:lang w:val="en-US"/>
        </w:rPr>
        <w:t xml:space="preserve">二、 </w:t>
      </w:r>
      <w:r>
        <w:rPr>
          <w:rFonts w:hint="eastAsia" w:ascii="宋体" w:hAnsi="宋体"/>
          <w:bCs/>
          <w:szCs w:val="24"/>
          <w:highlight w:val="none"/>
        </w:rPr>
        <w:t>报价</w:t>
      </w:r>
      <w:r>
        <w:rPr>
          <w:rFonts w:hint="eastAsia" w:ascii="宋体" w:hAnsi="宋体"/>
          <w:szCs w:val="24"/>
          <w:highlight w:val="none"/>
        </w:rPr>
        <w:t>程序</w:t>
      </w:r>
      <w:r>
        <w:rPr>
          <w:highlight w:val="none"/>
        </w:rPr>
        <w:tab/>
      </w:r>
      <w:r>
        <w:rPr>
          <w:highlight w:val="none"/>
        </w:rPr>
        <w:fldChar w:fldCharType="begin"/>
      </w:r>
      <w:r>
        <w:rPr>
          <w:highlight w:val="none"/>
        </w:rPr>
        <w:instrText xml:space="preserve"> PAGEREF _Toc23063 \h </w:instrText>
      </w:r>
      <w:r>
        <w:rPr>
          <w:highlight w:val="none"/>
        </w:rPr>
        <w:fldChar w:fldCharType="separate"/>
      </w:r>
      <w:r>
        <w:rPr>
          <w:highlight w:val="none"/>
        </w:rPr>
        <w:t>26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_Toc10838 </w:instrText>
      </w:r>
      <w:r>
        <w:rPr>
          <w:rFonts w:ascii="宋体" w:hAnsi="宋体"/>
          <w:bCs w:val="0"/>
          <w:kern w:val="0"/>
          <w:szCs w:val="24"/>
          <w:highlight w:val="none"/>
        </w:rPr>
        <w:fldChar w:fldCharType="separate"/>
      </w:r>
      <w:r>
        <w:rPr>
          <w:rFonts w:hint="eastAsia" w:ascii="宋体" w:hAnsi="宋体"/>
          <w:szCs w:val="24"/>
          <w:highlight w:val="none"/>
        </w:rPr>
        <w:t>三、定标</w:t>
      </w:r>
      <w:r>
        <w:rPr>
          <w:highlight w:val="none"/>
        </w:rPr>
        <w:tab/>
      </w:r>
      <w:r>
        <w:rPr>
          <w:highlight w:val="none"/>
        </w:rPr>
        <w:fldChar w:fldCharType="begin"/>
      </w:r>
      <w:r>
        <w:rPr>
          <w:highlight w:val="none"/>
        </w:rPr>
        <w:instrText xml:space="preserve"> PAGEREF _Toc10838 \h </w:instrText>
      </w:r>
      <w:r>
        <w:rPr>
          <w:highlight w:val="none"/>
        </w:rPr>
        <w:fldChar w:fldCharType="separate"/>
      </w:r>
      <w:r>
        <w:rPr>
          <w:highlight w:val="none"/>
        </w:rPr>
        <w:t>26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_Toc10002 </w:instrText>
      </w:r>
      <w:r>
        <w:rPr>
          <w:rFonts w:ascii="宋体" w:hAnsi="宋体"/>
          <w:bCs w:val="0"/>
          <w:kern w:val="0"/>
          <w:szCs w:val="24"/>
          <w:highlight w:val="none"/>
        </w:rPr>
        <w:fldChar w:fldCharType="separate"/>
      </w:r>
      <w:r>
        <w:rPr>
          <w:rFonts w:hint="eastAsia" w:ascii="宋体" w:hAnsi="宋体"/>
          <w:szCs w:val="24"/>
          <w:highlight w:val="none"/>
        </w:rPr>
        <w:t>四、签约</w:t>
      </w:r>
      <w:r>
        <w:rPr>
          <w:highlight w:val="none"/>
        </w:rPr>
        <w:tab/>
      </w:r>
      <w:r>
        <w:rPr>
          <w:highlight w:val="none"/>
        </w:rPr>
        <w:fldChar w:fldCharType="begin"/>
      </w:r>
      <w:r>
        <w:rPr>
          <w:highlight w:val="none"/>
        </w:rPr>
        <w:instrText xml:space="preserve"> PAGEREF _Toc10002 \h </w:instrText>
      </w:r>
      <w:r>
        <w:rPr>
          <w:highlight w:val="none"/>
        </w:rPr>
        <w:fldChar w:fldCharType="separate"/>
      </w:r>
      <w:r>
        <w:rPr>
          <w:highlight w:val="none"/>
        </w:rPr>
        <w:t>27</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27"/>
        <w:tabs>
          <w:tab w:val="right" w:leader="dot" w:pos="8640"/>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_Toc3873 </w:instrText>
      </w:r>
      <w:r>
        <w:rPr>
          <w:rFonts w:ascii="宋体" w:hAnsi="宋体"/>
          <w:bCs w:val="0"/>
          <w:kern w:val="0"/>
          <w:szCs w:val="24"/>
          <w:highlight w:val="none"/>
        </w:rPr>
        <w:fldChar w:fldCharType="separate"/>
      </w:r>
      <w:r>
        <w:rPr>
          <w:rFonts w:hint="eastAsia" w:ascii="宋体" w:hAnsi="宋体"/>
          <w:szCs w:val="30"/>
          <w:highlight w:val="none"/>
        </w:rPr>
        <w:t>第五章 竞价文件格式</w:t>
      </w:r>
      <w:r>
        <w:rPr>
          <w:highlight w:val="none"/>
        </w:rPr>
        <w:tab/>
      </w:r>
      <w:r>
        <w:rPr>
          <w:highlight w:val="none"/>
        </w:rPr>
        <w:fldChar w:fldCharType="begin"/>
      </w:r>
      <w:r>
        <w:rPr>
          <w:highlight w:val="none"/>
        </w:rPr>
        <w:instrText xml:space="preserve"> PAGEREF _Toc3873 \h </w:instrText>
      </w:r>
      <w:r>
        <w:rPr>
          <w:highlight w:val="none"/>
        </w:rPr>
        <w:fldChar w:fldCharType="separate"/>
      </w:r>
      <w:r>
        <w:rPr>
          <w:highlight w:val="none"/>
        </w:rPr>
        <w:t>29</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31"/>
        <w:tabs>
          <w:tab w:val="right" w:leader="dot" w:pos="8640"/>
          <w:tab w:val="clear" w:pos="9402"/>
        </w:tabs>
        <w:rPr>
          <w:highlight w:val="none"/>
        </w:rPr>
      </w:pPr>
      <w:r>
        <w:rPr>
          <w:rFonts w:ascii="宋体" w:hAnsi="宋体"/>
          <w:bCs w:val="0"/>
          <w:color w:val="000000" w:themeColor="text1"/>
          <w:kern w:val="0"/>
          <w:szCs w:val="24"/>
          <w:highlight w:val="none"/>
          <w14:textFill>
            <w14:solidFill>
              <w14:schemeClr w14:val="tx1"/>
            </w14:solidFill>
          </w14:textFill>
        </w:rPr>
        <w:fldChar w:fldCharType="begin"/>
      </w:r>
      <w:r>
        <w:rPr>
          <w:rFonts w:ascii="宋体" w:hAnsi="宋体"/>
          <w:bCs w:val="0"/>
          <w:kern w:val="0"/>
          <w:szCs w:val="24"/>
          <w:highlight w:val="none"/>
        </w:rPr>
        <w:instrText xml:space="preserve"> HYPERLINK \l _Toc2078 </w:instrText>
      </w:r>
      <w:r>
        <w:rPr>
          <w:rFonts w:ascii="宋体" w:hAnsi="宋体"/>
          <w:bCs w:val="0"/>
          <w:kern w:val="0"/>
          <w:szCs w:val="24"/>
          <w:highlight w:val="none"/>
        </w:rPr>
        <w:fldChar w:fldCharType="separate"/>
      </w:r>
      <w:r>
        <w:rPr>
          <w:rFonts w:ascii="宋体" w:hAnsi="宋体" w:cs="宋体"/>
          <w:bCs/>
          <w:szCs w:val="30"/>
          <w:highlight w:val="none"/>
        </w:rPr>
        <w:t>★《资格声明函》的附件</w:t>
      </w:r>
      <w:r>
        <w:rPr>
          <w:highlight w:val="none"/>
        </w:rPr>
        <w:tab/>
      </w:r>
      <w:r>
        <w:rPr>
          <w:highlight w:val="none"/>
        </w:rPr>
        <w:fldChar w:fldCharType="begin"/>
      </w:r>
      <w:r>
        <w:rPr>
          <w:highlight w:val="none"/>
        </w:rPr>
        <w:instrText xml:space="preserve"> PAGEREF _Toc2078 \h </w:instrText>
      </w:r>
      <w:r>
        <w:rPr>
          <w:highlight w:val="none"/>
        </w:rPr>
        <w:fldChar w:fldCharType="separate"/>
      </w:r>
      <w:r>
        <w:rPr>
          <w:highlight w:val="none"/>
        </w:rPr>
        <w:t>36</w:t>
      </w:r>
      <w:r>
        <w:rPr>
          <w:highlight w:val="none"/>
        </w:rPr>
        <w:fldChar w:fldCharType="end"/>
      </w:r>
      <w:r>
        <w:rPr>
          <w:rFonts w:ascii="宋体" w:hAnsi="宋体"/>
          <w:bCs w:val="0"/>
          <w:color w:val="000000" w:themeColor="text1"/>
          <w:kern w:val="0"/>
          <w:szCs w:val="24"/>
          <w:highlight w:val="none"/>
          <w14:textFill>
            <w14:solidFill>
              <w14:schemeClr w14:val="tx1"/>
            </w14:solidFill>
          </w14:textFill>
        </w:rPr>
        <w:fldChar w:fldCharType="end"/>
      </w:r>
    </w:p>
    <w:p>
      <w:pPr>
        <w:pStyle w:val="2"/>
        <w:tabs>
          <w:tab w:val="left" w:pos="1710"/>
          <w:tab w:val="center" w:pos="4706"/>
        </w:tabs>
        <w:spacing w:before="200" w:after="200" w:line="360" w:lineRule="auto"/>
        <w:jc w:val="center"/>
        <w:rPr>
          <w:rFonts w:ascii="宋体" w:hAnsi="宋体"/>
          <w:color w:val="000000" w:themeColor="text1"/>
          <w:sz w:val="28"/>
          <w:szCs w:val="24"/>
          <w:highlight w:val="none"/>
          <w14:textFill>
            <w14:solidFill>
              <w14:schemeClr w14:val="tx1"/>
            </w14:solidFill>
          </w14:textFill>
        </w:rPr>
      </w:pPr>
      <w:r>
        <w:rPr>
          <w:rFonts w:ascii="宋体" w:hAnsi="宋体"/>
          <w:bCs w:val="0"/>
          <w:color w:val="000000" w:themeColor="text1"/>
          <w:kern w:val="0"/>
          <w:szCs w:val="24"/>
          <w:highlight w:val="none"/>
          <w14:textFill>
            <w14:solidFill>
              <w14:schemeClr w14:val="tx1"/>
            </w14:solidFill>
          </w14:textFill>
        </w:rPr>
        <w:fldChar w:fldCharType="end"/>
      </w:r>
      <w:bookmarkStart w:id="13" w:name="_Toc18810"/>
      <w:r>
        <w:rPr>
          <w:rFonts w:hint="eastAsia"/>
          <w:highlight w:val="none"/>
        </w:rPr>
        <w:br w:type="page"/>
      </w:r>
      <w:bookmarkEnd w:id="10"/>
      <w:bookmarkEnd w:id="11"/>
      <w:bookmarkEnd w:id="12"/>
      <w:bookmarkStart w:id="14" w:name="_Hlk60217045"/>
      <w:r>
        <w:rPr>
          <w:rFonts w:hint="eastAsia" w:ascii="宋体" w:hAnsi="宋体"/>
          <w:color w:val="000000" w:themeColor="text1"/>
          <w:sz w:val="32"/>
          <w:szCs w:val="30"/>
          <w:highlight w:val="none"/>
          <w14:textFill>
            <w14:solidFill>
              <w14:schemeClr w14:val="tx1"/>
            </w14:solidFill>
          </w14:textFill>
        </w:rPr>
        <w:t>采购公告</w:t>
      </w:r>
      <w:bookmarkEnd w:id="13"/>
    </w:p>
    <w:p>
      <w:pPr>
        <w:spacing w:line="360" w:lineRule="auto"/>
        <w:ind w:firstLine="540" w:firstLineChars="225"/>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广州农村产权交易所有限公司(以下简称“采购代理机构”) 受</w:t>
      </w:r>
      <w:r>
        <w:rPr>
          <w:rFonts w:hint="eastAsia" w:ascii="宋体" w:hAnsi="宋体"/>
          <w:bCs/>
          <w:color w:val="000000" w:themeColor="text1"/>
          <w:sz w:val="24"/>
          <w:szCs w:val="24"/>
          <w:highlight w:val="none"/>
          <w14:textFill>
            <w14:solidFill>
              <w14:schemeClr w14:val="tx1"/>
            </w14:solidFill>
          </w14:textFill>
        </w:rPr>
        <w:t>广州市储备粮管理中心</w:t>
      </w:r>
      <w:r>
        <w:rPr>
          <w:rFonts w:hint="eastAsia" w:ascii="宋体" w:hAnsi="宋体"/>
          <w:color w:val="000000" w:themeColor="text1"/>
          <w:sz w:val="24"/>
          <w:szCs w:val="24"/>
          <w:highlight w:val="none"/>
          <w14:textFill>
            <w14:solidFill>
              <w14:schemeClr w14:val="tx1"/>
            </w14:solidFill>
          </w14:textFill>
        </w:rPr>
        <w:t>（以下简称“采购人”)的委托，就以下采购项目进行公开采购，欢迎符合资格条件的竞投人参与。</w:t>
      </w:r>
    </w:p>
    <w:p>
      <w:pPr>
        <w:spacing w:before="156" w:beforeLines="50" w:line="360" w:lineRule="auto"/>
        <w:ind w:left="564"/>
        <w:jc w:val="both"/>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一、采购项目简介</w:t>
      </w:r>
    </w:p>
    <w:p>
      <w:pPr>
        <w:spacing w:line="360" w:lineRule="auto"/>
        <w:ind w:left="426"/>
        <w:rPr>
          <w:rFonts w:hint="default" w:ascii="宋体" w:hAnsi="宋体"/>
          <w:color w:val="000000" w:themeColor="text1"/>
          <w:sz w:val="24"/>
          <w:szCs w:val="24"/>
          <w:highlight w:val="none"/>
          <w:lang w:val="en-US"/>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（一）项目名称：</w:t>
      </w:r>
      <w:r>
        <w:rPr>
          <w:rFonts w:hint="eastAsia" w:ascii="宋体" w:hAnsi="宋体" w:cs="宋体"/>
          <w:bCs/>
          <w:sz w:val="24"/>
          <w:szCs w:val="24"/>
          <w:highlight w:val="none"/>
        </w:rPr>
        <w:t>2022年救灾物资紧急采购项目</w:t>
      </w:r>
    </w:p>
    <w:p>
      <w:pPr>
        <w:spacing w:line="360" w:lineRule="auto"/>
        <w:ind w:left="4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（二）项目编号：</w:t>
      </w:r>
      <w:r>
        <w:rPr>
          <w:rFonts w:hint="eastAsia" w:ascii="宋体" w:hAnsi="宋体" w:eastAsia="宋体" w:cs="Times New Roman"/>
          <w:color w:val="auto"/>
          <w:sz w:val="24"/>
          <w:szCs w:val="24"/>
          <w:highlight w:val="none"/>
          <w:lang w:val="en-US" w:eastAsia="zh-CN" w:bidi="ar-SA"/>
        </w:rPr>
        <w:t>GZ2022JZ10002</w:t>
      </w:r>
    </w:p>
    <w:p>
      <w:pPr>
        <w:pStyle w:val="159"/>
        <w:spacing w:line="360" w:lineRule="auto"/>
        <w:ind w:left="425" w:firstLine="0" w:firstLineChars="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（三）项目总预算：</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150,000</w:t>
      </w:r>
      <w:r>
        <w:rPr>
          <w:rFonts w:hint="eastAsia" w:ascii="宋体" w:hAnsi="宋体"/>
          <w:color w:val="auto"/>
          <w:sz w:val="24"/>
          <w:szCs w:val="24"/>
          <w:highlight w:val="none"/>
        </w:rPr>
        <w:t>.00元</w:t>
      </w:r>
      <w:r>
        <w:rPr>
          <w:rFonts w:hint="eastAsia" w:ascii="宋体" w:hAnsi="宋体"/>
          <w:color w:val="000000" w:themeColor="text1"/>
          <w:sz w:val="24"/>
          <w:szCs w:val="24"/>
          <w:highlight w:val="none"/>
          <w14:textFill>
            <w14:solidFill>
              <w14:schemeClr w14:val="tx1"/>
            </w14:solidFill>
          </w14:textFill>
        </w:rPr>
        <w:t>；报价中必须包括文件要求的服务、全额含税增值税专用发票、合同实施过程中的应预见和不可预见费用等。</w:t>
      </w:r>
    </w:p>
    <w:p>
      <w:pPr>
        <w:spacing w:line="360" w:lineRule="auto"/>
        <w:ind w:left="425"/>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sz w:val="24"/>
          <w:highlight w:val="none"/>
        </w:rPr>
        <w:t>（四）采购内容：</w:t>
      </w:r>
      <w:r>
        <w:rPr>
          <w:rFonts w:eastAsiaTheme="minorEastAsia"/>
          <w:color w:val="auto"/>
          <w:sz w:val="24"/>
          <w:szCs w:val="24"/>
          <w:highlight w:val="none"/>
        </w:rPr>
        <w:t>确定一家</w:t>
      </w:r>
      <w:r>
        <w:rPr>
          <w:rFonts w:hint="eastAsia"/>
          <w:color w:val="auto"/>
          <w:sz w:val="24"/>
          <w:szCs w:val="24"/>
          <w:highlight w:val="none"/>
        </w:rPr>
        <w:t>竞投人</w:t>
      </w:r>
      <w:r>
        <w:rPr>
          <w:rFonts w:eastAsiaTheme="minorEastAsia"/>
          <w:color w:val="auto"/>
          <w:sz w:val="24"/>
          <w:szCs w:val="24"/>
          <w:highlight w:val="none"/>
        </w:rPr>
        <w:t>为采购人提供</w:t>
      </w:r>
      <w:r>
        <w:rPr>
          <w:rFonts w:hint="eastAsia" w:eastAsiaTheme="minorEastAsia"/>
          <w:color w:val="auto"/>
          <w:sz w:val="24"/>
          <w:szCs w:val="24"/>
          <w:highlight w:val="none"/>
          <w:lang w:val="en-US" w:eastAsia="zh-CN"/>
        </w:rPr>
        <w:t>5000个</w:t>
      </w:r>
      <w:r>
        <w:rPr>
          <w:rFonts w:hint="eastAsia" w:eastAsiaTheme="minorEastAsia"/>
          <w:color w:val="auto"/>
          <w:sz w:val="24"/>
          <w:szCs w:val="24"/>
          <w:highlight w:val="none"/>
          <w:lang w:eastAsia="zh-CN"/>
        </w:rPr>
        <w:t>枕头（含枕套）。</w:t>
      </w:r>
    </w:p>
    <w:p>
      <w:pPr>
        <w:spacing w:line="360" w:lineRule="auto"/>
        <w:ind w:left="425"/>
        <w:rPr>
          <w:highlight w:val="none"/>
        </w:rPr>
      </w:pPr>
      <w:r>
        <w:rPr>
          <w:rFonts w:hint="eastAsia" w:ascii="宋体" w:hAnsi="宋体"/>
          <w:color w:val="000000" w:themeColor="text1"/>
          <w:sz w:val="24"/>
          <w:szCs w:val="24"/>
          <w:highlight w:val="none"/>
          <w14:textFill>
            <w14:solidFill>
              <w14:schemeClr w14:val="tx1"/>
            </w14:solidFill>
          </w14:textFill>
        </w:rPr>
        <w:t>（五）项目类别：货物类</w:t>
      </w:r>
    </w:p>
    <w:p>
      <w:pPr>
        <w:pStyle w:val="97"/>
        <w:spacing w:line="360" w:lineRule="auto"/>
        <w:ind w:left="431"/>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（六）供货期限：</w:t>
      </w:r>
      <w:r>
        <w:rPr>
          <w:rFonts w:hint="eastAsia" w:ascii="Times New Roman" w:hAnsi="Times New Roman" w:eastAsiaTheme="minorEastAsia"/>
          <w:sz w:val="24"/>
          <w:szCs w:val="24"/>
          <w:highlight w:val="none"/>
        </w:rPr>
        <w:t>按合同</w:t>
      </w:r>
      <w:r>
        <w:rPr>
          <w:rFonts w:ascii="Times New Roman" w:hAnsi="Times New Roman" w:eastAsiaTheme="minorEastAsia"/>
          <w:sz w:val="24"/>
          <w:szCs w:val="24"/>
          <w:highlight w:val="none"/>
        </w:rPr>
        <w:t>约定</w:t>
      </w:r>
      <w:r>
        <w:rPr>
          <w:rFonts w:hint="eastAsia" w:asciiTheme="minorEastAsia" w:hAnsiTheme="minorEastAsia" w:eastAsiaTheme="minorEastAsia" w:cstheme="minorEastAsia"/>
          <w:sz w:val="24"/>
          <w:szCs w:val="24"/>
          <w:highlight w:val="none"/>
        </w:rPr>
        <w:t>。</w:t>
      </w:r>
    </w:p>
    <w:p>
      <w:pPr>
        <w:pStyle w:val="97"/>
        <w:spacing w:line="360" w:lineRule="auto"/>
        <w:ind w:left="431"/>
        <w:jc w:val="left"/>
        <w:rPr>
          <w:rFonts w:hAnsi="宋体" w:cs="宋体"/>
          <w:color w:val="000000"/>
          <w:sz w:val="24"/>
          <w:highlight w:val="none"/>
        </w:rPr>
      </w:pPr>
      <w:r>
        <w:rPr>
          <w:rFonts w:hint="eastAsia" w:hAnsi="宋体" w:cs="宋体"/>
          <w:color w:val="000000"/>
          <w:sz w:val="24"/>
          <w:highlight w:val="none"/>
        </w:rPr>
        <w:t>（七）资金来源：财政性资金</w:t>
      </w:r>
    </w:p>
    <w:p>
      <w:pPr>
        <w:pStyle w:val="97"/>
        <w:spacing w:line="360" w:lineRule="auto"/>
        <w:ind w:left="431"/>
        <w:jc w:val="left"/>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（八）服务要求：详见采购须知《用户需求书》</w:t>
      </w:r>
    </w:p>
    <w:p>
      <w:pPr>
        <w:spacing w:before="156" w:beforeLines="50" w:line="360" w:lineRule="auto"/>
        <w:ind w:left="567"/>
        <w:jc w:val="both"/>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二、竞投人资格要求</w:t>
      </w:r>
    </w:p>
    <w:p>
      <w:pPr>
        <w:pStyle w:val="159"/>
        <w:ind w:left="420" w:firstLine="0" w:firstLineChars="0"/>
        <w:rPr>
          <w:rFonts w:eastAsiaTheme="minorEastAsia"/>
          <w:color w:val="000000" w:themeColor="text1"/>
          <w:kern w:val="2"/>
          <w:sz w:val="24"/>
          <w:szCs w:val="24"/>
          <w:highlight w:val="none"/>
          <w14:textFill>
            <w14:solidFill>
              <w14:schemeClr w14:val="tx1"/>
            </w14:solidFill>
          </w14:textFill>
        </w:rPr>
      </w:pPr>
      <w:r>
        <w:rPr>
          <w:rFonts w:hint="eastAsia"/>
          <w:sz w:val="24"/>
          <w:szCs w:val="24"/>
          <w:highlight w:val="none"/>
        </w:rPr>
        <w:t>（一）竞投人</w:t>
      </w:r>
      <w:r>
        <w:rPr>
          <w:rFonts w:eastAsiaTheme="minorEastAsia"/>
          <w:color w:val="000000" w:themeColor="text1"/>
          <w:kern w:val="2"/>
          <w:sz w:val="24"/>
          <w:szCs w:val="24"/>
          <w:highlight w:val="none"/>
          <w14:textFill>
            <w14:solidFill>
              <w14:schemeClr w14:val="tx1"/>
            </w14:solidFill>
          </w14:textFill>
        </w:rPr>
        <w:t>必须为中华人民共和国境内注册成立、合法存续的法人或非法人组织。</w:t>
      </w:r>
    </w:p>
    <w:p>
      <w:pPr>
        <w:pStyle w:val="97"/>
        <w:spacing w:line="360" w:lineRule="auto"/>
        <w:jc w:val="left"/>
        <w:rPr>
          <w:rFonts w:ascii="Times New Roman" w:hAnsi="Times New Roman" w:eastAsiaTheme="minorEastAsia"/>
          <w:color w:val="000000" w:themeColor="text1"/>
          <w:sz w:val="24"/>
          <w:szCs w:val="24"/>
          <w:highlight w:val="none"/>
          <w14:textFill>
            <w14:solidFill>
              <w14:schemeClr w14:val="tx1"/>
            </w14:solidFill>
          </w14:textFill>
        </w:rPr>
      </w:pPr>
      <w:r>
        <w:rPr>
          <w:rFonts w:hint="eastAsia" w:ascii="Times New Roman" w:hAnsi="Times New Roman" w:eastAsiaTheme="minorEastAsia"/>
          <w:color w:val="000000" w:themeColor="text1"/>
          <w:sz w:val="24"/>
          <w:szCs w:val="24"/>
          <w:highlight w:val="none"/>
          <w14:textFill>
            <w14:solidFill>
              <w14:schemeClr w14:val="tx1"/>
            </w14:solidFill>
          </w14:textFill>
        </w:rPr>
        <w:t>竞投</w:t>
      </w:r>
      <w:r>
        <w:rPr>
          <w:rFonts w:ascii="Times New Roman" w:hAnsi="Times New Roman" w:eastAsiaTheme="minorEastAsia"/>
          <w:color w:val="000000" w:themeColor="text1"/>
          <w:sz w:val="24"/>
          <w:szCs w:val="24"/>
          <w:highlight w:val="none"/>
          <w14:textFill>
            <w14:solidFill>
              <w14:schemeClr w14:val="tx1"/>
            </w14:solidFill>
          </w14:textFill>
        </w:rPr>
        <w:t>人为非独立法人注册的分公司，须提供总公司的营业执照副本复印件及总公司对分公司出具的有效授权书原件。</w:t>
      </w:r>
    </w:p>
    <w:p>
      <w:pPr>
        <w:pStyle w:val="97"/>
        <w:spacing w:line="360" w:lineRule="auto"/>
        <w:ind w:left="420"/>
        <w:jc w:val="left"/>
        <w:rPr>
          <w:rFonts w:ascii="Times New Roman" w:hAnsi="Times New Roman" w:eastAsiaTheme="minorEastAsia"/>
          <w:color w:val="000000" w:themeColor="text1"/>
          <w:sz w:val="24"/>
          <w:szCs w:val="24"/>
          <w:highlight w:val="none"/>
          <w14:textFill>
            <w14:solidFill>
              <w14:schemeClr w14:val="tx1"/>
            </w14:solidFill>
          </w14:textFill>
        </w:rPr>
      </w:pPr>
      <w:r>
        <w:rPr>
          <w:rFonts w:hint="eastAsia" w:ascii="Times New Roman" w:hAnsi="Times New Roman"/>
          <w:sz w:val="24"/>
          <w:szCs w:val="24"/>
          <w:highlight w:val="none"/>
        </w:rPr>
        <w:t>（二）竞投人</w:t>
      </w:r>
      <w:r>
        <w:rPr>
          <w:rFonts w:ascii="Times New Roman" w:hAnsi="Times New Roman" w:eastAsiaTheme="minorEastAsia"/>
          <w:color w:val="000000" w:themeColor="text1"/>
          <w:sz w:val="24"/>
          <w:szCs w:val="24"/>
          <w:highlight w:val="none"/>
          <w14:textFill>
            <w14:solidFill>
              <w14:schemeClr w14:val="tx1"/>
            </w14:solidFill>
          </w14:textFill>
        </w:rPr>
        <w:t>没有处于被责令停业或破产状态，且资产未被重组、接管和冻结，声明在</w:t>
      </w:r>
      <w:r>
        <w:rPr>
          <w:rFonts w:hint="eastAsia" w:ascii="Times New Roman" w:hAnsi="Times New Roman" w:eastAsiaTheme="minorEastAsia"/>
          <w:color w:val="000000" w:themeColor="text1"/>
          <w:sz w:val="24"/>
          <w:szCs w:val="24"/>
          <w:highlight w:val="none"/>
          <w14:textFill>
            <w14:solidFill>
              <w14:schemeClr w14:val="tx1"/>
            </w14:solidFill>
          </w14:textFill>
        </w:rPr>
        <w:t>采购</w:t>
      </w:r>
      <w:r>
        <w:rPr>
          <w:rFonts w:ascii="Times New Roman" w:hAnsi="Times New Roman" w:eastAsiaTheme="minorEastAsia"/>
          <w:color w:val="000000" w:themeColor="text1"/>
          <w:sz w:val="24"/>
          <w:szCs w:val="24"/>
          <w:highlight w:val="none"/>
          <w14:textFill>
            <w14:solidFill>
              <w14:schemeClr w14:val="tx1"/>
            </w14:solidFill>
          </w14:textFill>
        </w:rPr>
        <w:t>活动中三年内没有重大违法活动和涉嫌违规行为。</w:t>
      </w:r>
    </w:p>
    <w:p>
      <w:pPr>
        <w:snapToGrid w:val="0"/>
        <w:spacing w:line="360" w:lineRule="auto"/>
        <w:ind w:left="420"/>
        <w:rPr>
          <w:rFonts w:eastAsiaTheme="minorEastAsia"/>
          <w:highlight w:val="none"/>
        </w:rPr>
      </w:pPr>
      <w:r>
        <w:rPr>
          <w:rFonts w:hint="eastAsia"/>
          <w:sz w:val="24"/>
          <w:szCs w:val="24"/>
          <w:highlight w:val="none"/>
        </w:rPr>
        <w:t>（三）竞投人</w:t>
      </w:r>
      <w:r>
        <w:rPr>
          <w:rFonts w:eastAsiaTheme="minorEastAsia"/>
          <w:color w:val="000000" w:themeColor="text1"/>
          <w:sz w:val="24"/>
          <w:szCs w:val="24"/>
          <w:highlight w:val="none"/>
          <w14:textFill>
            <w14:solidFill>
              <w14:schemeClr w14:val="tx1"/>
            </w14:solidFill>
          </w14:textFill>
        </w:rPr>
        <w:t>未被列入“信用中国”网站(www.creditchina.gov.cn)记录失信被执行人或重大税收违法案件当事人名单，</w:t>
      </w:r>
      <w:r>
        <w:rPr>
          <w:rFonts w:hint="eastAsia" w:eastAsiaTheme="minorEastAsia"/>
          <w:color w:val="000000" w:themeColor="text1"/>
          <w:sz w:val="24"/>
          <w:szCs w:val="24"/>
          <w:highlight w:val="none"/>
          <w14:textFill>
            <w14:solidFill>
              <w14:schemeClr w14:val="tx1"/>
            </w14:solidFill>
          </w14:textFill>
        </w:rPr>
        <w:t>竞投</w:t>
      </w:r>
      <w:r>
        <w:rPr>
          <w:rFonts w:eastAsiaTheme="minorEastAsia"/>
          <w:color w:val="000000" w:themeColor="text1"/>
          <w:sz w:val="24"/>
          <w:szCs w:val="24"/>
          <w:highlight w:val="none"/>
          <w14:textFill>
            <w14:solidFill>
              <w14:schemeClr w14:val="tx1"/>
            </w14:solidFill>
          </w14:textFill>
        </w:rPr>
        <w:t>人须提供《信用记录承诺函》附“信用中国”网站（www.creditchina.gov.cn）的信用记录查询结果截图并打印页面加盖公章。</w:t>
      </w:r>
    </w:p>
    <w:p>
      <w:pPr>
        <w:pStyle w:val="97"/>
        <w:spacing w:line="460" w:lineRule="exact"/>
        <w:ind w:left="420"/>
        <w:rPr>
          <w:rFonts w:ascii="Times New Roman" w:hAnsi="Times New Roman" w:eastAsiaTheme="minorEastAsia"/>
          <w:color w:val="000000" w:themeColor="text1"/>
          <w:sz w:val="24"/>
          <w:szCs w:val="24"/>
          <w:highlight w:val="none"/>
          <w14:textFill>
            <w14:solidFill>
              <w14:schemeClr w14:val="tx1"/>
            </w14:solidFill>
          </w14:textFill>
        </w:rPr>
      </w:pPr>
      <w:r>
        <w:rPr>
          <w:rFonts w:hint="eastAsia" w:ascii="Times New Roman" w:hAnsi="Times New Roman"/>
          <w:sz w:val="24"/>
          <w:szCs w:val="24"/>
          <w:highlight w:val="none"/>
        </w:rPr>
        <w:t>（四）竞投人</w:t>
      </w:r>
      <w:r>
        <w:rPr>
          <w:rFonts w:ascii="Times New Roman" w:hAnsi="Times New Roman" w:eastAsiaTheme="minorEastAsia"/>
          <w:sz w:val="24"/>
          <w:szCs w:val="24"/>
          <w:highlight w:val="none"/>
        </w:rPr>
        <w:t>出具的《</w:t>
      </w:r>
      <w:r>
        <w:rPr>
          <w:rFonts w:hint="eastAsia" w:ascii="Times New Roman" w:hAnsi="Times New Roman" w:eastAsiaTheme="minorEastAsia"/>
          <w:sz w:val="24"/>
          <w:szCs w:val="24"/>
          <w:highlight w:val="none"/>
        </w:rPr>
        <w:t>实质性响应条款一览表</w:t>
      </w:r>
      <w:r>
        <w:rPr>
          <w:rFonts w:ascii="Times New Roman" w:hAnsi="Times New Roman" w:eastAsiaTheme="minorEastAsia"/>
          <w:sz w:val="24"/>
          <w:szCs w:val="24"/>
          <w:highlight w:val="none"/>
        </w:rPr>
        <w:t>》。</w:t>
      </w:r>
    </w:p>
    <w:p>
      <w:pPr>
        <w:pStyle w:val="97"/>
        <w:spacing w:line="460" w:lineRule="exact"/>
        <w:ind w:left="420"/>
        <w:rPr>
          <w:rFonts w:ascii="Times New Roman" w:hAnsi="Times New Roman" w:eastAsiaTheme="minorEastAsia"/>
          <w:color w:val="000000" w:themeColor="text1"/>
          <w:sz w:val="24"/>
          <w:szCs w:val="24"/>
          <w:highlight w:val="none"/>
          <w14:textFill>
            <w14:solidFill>
              <w14:schemeClr w14:val="tx1"/>
            </w14:solidFill>
          </w14:textFill>
        </w:rPr>
      </w:pPr>
      <w:r>
        <w:rPr>
          <w:rFonts w:hint="eastAsia" w:ascii="Times New Roman" w:hAnsi="Times New Roman" w:eastAsiaTheme="minorEastAsia"/>
          <w:sz w:val="24"/>
          <w:szCs w:val="24"/>
          <w:highlight w:val="none"/>
        </w:rPr>
        <w:t>（五）</w:t>
      </w:r>
      <w:r>
        <w:rPr>
          <w:rFonts w:ascii="Times New Roman" w:hAnsi="Times New Roman" w:eastAsiaTheme="minorEastAsia"/>
          <w:sz w:val="24"/>
          <w:szCs w:val="24"/>
          <w:highlight w:val="none"/>
        </w:rPr>
        <w:t>已办理报名手续的</w:t>
      </w:r>
      <w:r>
        <w:rPr>
          <w:rFonts w:hint="eastAsia" w:ascii="Times New Roman" w:hAnsi="Times New Roman" w:eastAsiaTheme="minorEastAsia"/>
          <w:sz w:val="24"/>
          <w:szCs w:val="24"/>
          <w:highlight w:val="none"/>
        </w:rPr>
        <w:t>竞投</w:t>
      </w:r>
      <w:r>
        <w:rPr>
          <w:rFonts w:ascii="Times New Roman" w:hAnsi="Times New Roman" w:eastAsiaTheme="minorEastAsia"/>
          <w:sz w:val="24"/>
          <w:szCs w:val="24"/>
          <w:highlight w:val="none"/>
        </w:rPr>
        <w:t>人。</w:t>
      </w:r>
    </w:p>
    <w:p>
      <w:pPr>
        <w:pStyle w:val="97"/>
        <w:spacing w:line="460" w:lineRule="exact"/>
        <w:ind w:left="420"/>
        <w:rPr>
          <w:rFonts w:ascii="Times New Roman" w:hAnsi="Times New Roman" w:eastAsiaTheme="minorEastAsia"/>
          <w:color w:val="000000" w:themeColor="text1"/>
          <w:sz w:val="24"/>
          <w:szCs w:val="24"/>
          <w:highlight w:val="none"/>
          <w14:textFill>
            <w14:solidFill>
              <w14:schemeClr w14:val="tx1"/>
            </w14:solidFill>
          </w14:textFill>
        </w:rPr>
      </w:pPr>
      <w:r>
        <w:rPr>
          <w:rFonts w:hint="eastAsia" w:ascii="Times New Roman" w:hAnsi="Times New Roman" w:eastAsiaTheme="minorEastAsia"/>
          <w:color w:val="000000" w:themeColor="text1"/>
          <w:sz w:val="24"/>
          <w:szCs w:val="24"/>
          <w:highlight w:val="none"/>
          <w14:textFill>
            <w14:solidFill>
              <w14:schemeClr w14:val="tx1"/>
            </w14:solidFill>
          </w14:textFill>
        </w:rPr>
        <w:t>（六）</w:t>
      </w:r>
      <w:r>
        <w:rPr>
          <w:rFonts w:ascii="Times New Roman" w:hAnsi="Times New Roman" w:eastAsiaTheme="minorEastAsia"/>
          <w:color w:val="000000" w:themeColor="text1"/>
          <w:sz w:val="24"/>
          <w:szCs w:val="24"/>
          <w:highlight w:val="none"/>
          <w14:textFill>
            <w14:solidFill>
              <w14:schemeClr w14:val="tx1"/>
            </w14:solidFill>
          </w14:textFill>
        </w:rPr>
        <w:t>本项目不接受联合体投标。</w:t>
      </w:r>
    </w:p>
    <w:p>
      <w:pPr>
        <w:pStyle w:val="97"/>
        <w:spacing w:line="460" w:lineRule="exact"/>
        <w:ind w:left="420"/>
        <w:rPr>
          <w:rFonts w:ascii="Times New Roman" w:hAnsi="Times New Roman" w:eastAsiaTheme="minorEastAsia"/>
          <w:color w:val="000000" w:themeColor="text1"/>
          <w:sz w:val="24"/>
          <w:szCs w:val="24"/>
          <w:highlight w:val="none"/>
          <w14:textFill>
            <w14:solidFill>
              <w14:schemeClr w14:val="tx1"/>
            </w14:solidFill>
          </w14:textFill>
        </w:rPr>
      </w:pPr>
      <w:r>
        <w:rPr>
          <w:rFonts w:hint="eastAsia" w:ascii="Times New Roman" w:hAnsi="Times New Roman" w:eastAsiaTheme="minorEastAsia"/>
          <w:color w:val="000000" w:themeColor="text1"/>
          <w:sz w:val="24"/>
          <w:szCs w:val="24"/>
          <w:highlight w:val="none"/>
          <w14:textFill>
            <w14:solidFill>
              <w14:schemeClr w14:val="tx1"/>
            </w14:solidFill>
          </w14:textFill>
        </w:rPr>
        <w:t>（七）提供样品，且必须符合《货物清单》中的技术参数。</w:t>
      </w:r>
    </w:p>
    <w:p>
      <w:pPr>
        <w:pStyle w:val="20"/>
        <w:rPr>
          <w:rFonts w:eastAsiaTheme="minorEastAsia"/>
          <w:highlight w:val="none"/>
        </w:rPr>
      </w:pPr>
      <w:r>
        <w:rPr>
          <w:rFonts w:hint="eastAsia" w:ascii="Times New Roman" w:hAnsi="Times New Roman" w:eastAsiaTheme="minorEastAsia"/>
          <w:color w:val="000000" w:themeColor="text1"/>
          <w:sz w:val="24"/>
          <w:szCs w:val="24"/>
          <w:highlight w:val="none"/>
          <w14:textFill>
            <w14:solidFill>
              <w14:schemeClr w14:val="tx1"/>
            </w14:solidFill>
          </w14:textFill>
        </w:rPr>
        <w:t xml:space="preserve">  </w:t>
      </w:r>
    </w:p>
    <w:p>
      <w:pPr>
        <w:pStyle w:val="20"/>
        <w:rPr>
          <w:highlight w:val="none"/>
        </w:rPr>
      </w:pPr>
    </w:p>
    <w:p>
      <w:pPr>
        <w:spacing w:line="360" w:lineRule="auto"/>
        <w:ind w:firstLine="482" w:firstLineChars="200"/>
        <w:rPr>
          <w:b/>
          <w:sz w:val="24"/>
          <w:szCs w:val="24"/>
          <w:highlight w:val="none"/>
        </w:rPr>
      </w:pPr>
      <w:r>
        <w:rPr>
          <w:b/>
          <w:sz w:val="24"/>
          <w:szCs w:val="24"/>
          <w:highlight w:val="none"/>
        </w:rPr>
        <w:t>三</w:t>
      </w:r>
      <w:r>
        <w:rPr>
          <w:rFonts w:hint="eastAsia"/>
          <w:b/>
          <w:sz w:val="24"/>
          <w:szCs w:val="24"/>
          <w:highlight w:val="none"/>
        </w:rPr>
        <w:t>、</w:t>
      </w:r>
      <w:r>
        <w:rPr>
          <w:b/>
          <w:sz w:val="24"/>
          <w:szCs w:val="24"/>
          <w:highlight w:val="none"/>
        </w:rPr>
        <w:t>报名及采购须知的获取时间、获取方式、保证金缴纳</w:t>
      </w:r>
    </w:p>
    <w:p>
      <w:pPr>
        <w:pStyle w:val="97"/>
        <w:numPr>
          <w:ilvl w:val="0"/>
          <w:numId w:val="1"/>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报名及获取采购须知时间：</w:t>
      </w:r>
      <w:r>
        <w:rPr>
          <w:rFonts w:ascii="Times New Roman" w:hAnsi="Times New Roman"/>
          <w:sz w:val="24"/>
          <w:szCs w:val="24"/>
          <w:highlight w:val="none"/>
        </w:rPr>
        <w:t>20</w:t>
      </w:r>
      <w:r>
        <w:rPr>
          <w:rFonts w:hint="eastAsia" w:ascii="Times New Roman" w:hAnsi="Times New Roman"/>
          <w:sz w:val="24"/>
          <w:szCs w:val="24"/>
          <w:highlight w:val="none"/>
        </w:rPr>
        <w:t>22</w:t>
      </w:r>
      <w:r>
        <w:rPr>
          <w:rFonts w:ascii="Times New Roman" w:hAnsi="Times New Roman"/>
          <w:sz w:val="24"/>
          <w:szCs w:val="24"/>
          <w:highlight w:val="none"/>
        </w:rPr>
        <w:t>年</w:t>
      </w:r>
      <w:r>
        <w:rPr>
          <w:rFonts w:hint="eastAsia" w:ascii="Times New Roman" w:hAnsi="Times New Roman"/>
          <w:sz w:val="24"/>
          <w:szCs w:val="24"/>
          <w:highlight w:val="none"/>
          <w:lang w:val="en-US" w:eastAsia="zh-CN"/>
        </w:rPr>
        <w:t>11</w:t>
      </w:r>
      <w:r>
        <w:rPr>
          <w:rFonts w:ascii="Times New Roman" w:hAnsi="Times New Roman"/>
          <w:sz w:val="24"/>
          <w:szCs w:val="24"/>
          <w:highlight w:val="none"/>
        </w:rPr>
        <w:t>月</w:t>
      </w:r>
      <w:r>
        <w:rPr>
          <w:rFonts w:hint="eastAsia" w:ascii="Times New Roman" w:hAnsi="Times New Roman"/>
          <w:sz w:val="24"/>
          <w:szCs w:val="24"/>
          <w:highlight w:val="none"/>
          <w:lang w:val="en-US" w:eastAsia="zh-CN"/>
        </w:rPr>
        <w:t>23</w:t>
      </w:r>
      <w:r>
        <w:rPr>
          <w:rFonts w:ascii="Times New Roman" w:hAnsi="Times New Roman"/>
          <w:sz w:val="24"/>
          <w:szCs w:val="24"/>
          <w:highlight w:val="none"/>
        </w:rPr>
        <w:t>日至20</w:t>
      </w:r>
      <w:r>
        <w:rPr>
          <w:rFonts w:hint="eastAsia" w:ascii="Times New Roman" w:hAnsi="Times New Roman"/>
          <w:sz w:val="24"/>
          <w:szCs w:val="24"/>
          <w:highlight w:val="none"/>
        </w:rPr>
        <w:t>22</w:t>
      </w:r>
      <w:r>
        <w:rPr>
          <w:rFonts w:ascii="Times New Roman" w:hAnsi="Times New Roman"/>
          <w:sz w:val="24"/>
          <w:szCs w:val="24"/>
          <w:highlight w:val="none"/>
        </w:rPr>
        <w:t>年</w:t>
      </w:r>
      <w:r>
        <w:rPr>
          <w:rFonts w:hint="eastAsia" w:ascii="Times New Roman" w:hAnsi="Times New Roman"/>
          <w:sz w:val="24"/>
          <w:szCs w:val="24"/>
          <w:highlight w:val="none"/>
          <w:lang w:val="en-US" w:eastAsia="zh-CN"/>
        </w:rPr>
        <w:t>11</w:t>
      </w:r>
      <w:r>
        <w:rPr>
          <w:rFonts w:ascii="Times New Roman" w:hAnsi="Times New Roman"/>
          <w:sz w:val="24"/>
          <w:szCs w:val="24"/>
          <w:highlight w:val="none"/>
        </w:rPr>
        <w:t>月</w:t>
      </w:r>
      <w:r>
        <w:rPr>
          <w:rFonts w:hint="eastAsia" w:ascii="Times New Roman" w:hAnsi="Times New Roman"/>
          <w:sz w:val="24"/>
          <w:szCs w:val="24"/>
          <w:highlight w:val="none"/>
          <w:lang w:val="en-US" w:eastAsia="zh-CN"/>
        </w:rPr>
        <w:t>25</w:t>
      </w:r>
      <w:r>
        <w:rPr>
          <w:rFonts w:ascii="Times New Roman" w:hAnsi="Times New Roman"/>
          <w:sz w:val="24"/>
          <w:szCs w:val="24"/>
          <w:highlight w:val="none"/>
        </w:rPr>
        <w:t>日</w:t>
      </w:r>
    </w:p>
    <w:p>
      <w:pPr>
        <w:pStyle w:val="97"/>
        <w:numPr>
          <w:ilvl w:val="0"/>
          <w:numId w:val="1"/>
        </w:numPr>
        <w:spacing w:line="360" w:lineRule="auto"/>
        <w:ind w:left="0" w:firstLine="431"/>
        <w:rPr>
          <w:rFonts w:ascii="Times New Roman" w:hAnsi="Times New Roman"/>
          <w:b/>
          <w:sz w:val="24"/>
          <w:szCs w:val="24"/>
          <w:highlight w:val="none"/>
        </w:rPr>
      </w:pPr>
      <w:r>
        <w:rPr>
          <w:rFonts w:ascii="Times New Roman" w:hAnsi="Times New Roman"/>
          <w:sz w:val="24"/>
          <w:szCs w:val="24"/>
          <w:highlight w:val="none"/>
        </w:rPr>
        <w:t>报名及获取采购须知方式：</w:t>
      </w:r>
    </w:p>
    <w:p>
      <w:pPr>
        <w:pStyle w:val="97"/>
        <w:numPr>
          <w:ilvl w:val="0"/>
          <w:numId w:val="2"/>
        </w:numPr>
        <w:spacing w:line="360" w:lineRule="auto"/>
        <w:ind w:left="0" w:firstLine="431"/>
        <w:rPr>
          <w:rFonts w:ascii="Times New Roman" w:hAnsi="Times New Roman"/>
          <w:sz w:val="24"/>
          <w:szCs w:val="24"/>
          <w:highlight w:val="none"/>
        </w:rPr>
      </w:pPr>
      <w:r>
        <w:rPr>
          <w:rFonts w:hint="eastAsia" w:ascii="Times New Roman" w:hAnsi="Times New Roman"/>
          <w:sz w:val="24"/>
          <w:szCs w:val="24"/>
          <w:highlight w:val="none"/>
        </w:rPr>
        <w:t>竞投人</w:t>
      </w:r>
      <w:r>
        <w:rPr>
          <w:rFonts w:ascii="Times New Roman" w:hAnsi="Times New Roman"/>
          <w:sz w:val="24"/>
          <w:szCs w:val="24"/>
          <w:highlight w:val="none"/>
        </w:rPr>
        <w:t>须在广州粮食交易综合服务平台（下简称“本平台”）注册企业账号并根据平台提示完善企业信息。</w:t>
      </w:r>
    </w:p>
    <w:p>
      <w:pPr>
        <w:pStyle w:val="97"/>
        <w:numPr>
          <w:ilvl w:val="0"/>
          <w:numId w:val="2"/>
        </w:numPr>
        <w:spacing w:line="360" w:lineRule="auto"/>
        <w:ind w:left="0" w:firstLine="431"/>
        <w:rPr>
          <w:rFonts w:ascii="Times New Roman" w:hAnsi="Times New Roman"/>
          <w:sz w:val="24"/>
          <w:szCs w:val="24"/>
          <w:highlight w:val="none"/>
        </w:rPr>
      </w:pPr>
      <w:r>
        <w:rPr>
          <w:rFonts w:hint="eastAsia" w:ascii="Times New Roman" w:hAnsi="Times New Roman"/>
          <w:sz w:val="24"/>
          <w:szCs w:val="24"/>
          <w:highlight w:val="none"/>
        </w:rPr>
        <w:t>竞投人</w:t>
      </w:r>
      <w:r>
        <w:rPr>
          <w:rFonts w:ascii="Times New Roman" w:hAnsi="Times New Roman"/>
          <w:sz w:val="24"/>
          <w:szCs w:val="24"/>
          <w:highlight w:val="none"/>
        </w:rPr>
        <w:t>办理报名手续时，须上传下列相关资料扫描件，并由原件持有方签字、盖公章，标注“此件与原件相符”字样，文本格式详见</w:t>
      </w:r>
      <w:r>
        <w:rPr>
          <w:rFonts w:hint="eastAsia" w:ascii="Times New Roman" w:hAnsi="Times New Roman"/>
          <w:sz w:val="24"/>
          <w:szCs w:val="24"/>
          <w:highlight w:val="none"/>
        </w:rPr>
        <w:t>采购</w:t>
      </w:r>
      <w:r>
        <w:rPr>
          <w:rFonts w:ascii="Times New Roman" w:hAnsi="Times New Roman"/>
          <w:sz w:val="24"/>
          <w:szCs w:val="24"/>
          <w:highlight w:val="none"/>
        </w:rPr>
        <w:t>公告附件:</w:t>
      </w:r>
    </w:p>
    <w:p>
      <w:pPr>
        <w:pStyle w:val="97"/>
        <w:numPr>
          <w:ilvl w:val="0"/>
          <w:numId w:val="3"/>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营业执照、组织机构代码证、税务登记证的复印件（已实行“三证合一”的单位，只须提供新版营业执照即可）。</w:t>
      </w:r>
    </w:p>
    <w:p>
      <w:pPr>
        <w:pStyle w:val="97"/>
        <w:numPr>
          <w:ilvl w:val="0"/>
          <w:numId w:val="3"/>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法定代表人身份证明书、授权委托书原件；法定代表人身份证、受托人身份证复印件（在委托代理情况下）。</w:t>
      </w:r>
    </w:p>
    <w:p>
      <w:pPr>
        <w:pStyle w:val="97"/>
        <w:numPr>
          <w:ilvl w:val="0"/>
          <w:numId w:val="2"/>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现场咨询地点：广州农村产权交易所有限公司（</w:t>
      </w:r>
      <w:r>
        <w:rPr>
          <w:rFonts w:hint="eastAsia" w:ascii="Times New Roman" w:hAnsi="Times New Roman"/>
          <w:sz w:val="24"/>
          <w:szCs w:val="24"/>
          <w:highlight w:val="none"/>
        </w:rPr>
        <w:t>广州市越秀区流花路123号广州越秀国际会议中心北塔9楼</w:t>
      </w:r>
      <w:r>
        <w:rPr>
          <w:rFonts w:ascii="Times New Roman" w:hAnsi="Times New Roman"/>
          <w:sz w:val="24"/>
          <w:szCs w:val="24"/>
          <w:highlight w:val="none"/>
        </w:rPr>
        <w:t>）。</w:t>
      </w:r>
    </w:p>
    <w:p>
      <w:pPr>
        <w:pStyle w:val="97"/>
        <w:numPr>
          <w:ilvl w:val="0"/>
          <w:numId w:val="2"/>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成功办理报名的</w:t>
      </w:r>
      <w:r>
        <w:rPr>
          <w:rFonts w:hint="eastAsia" w:ascii="Times New Roman" w:hAnsi="Times New Roman"/>
          <w:sz w:val="24"/>
          <w:szCs w:val="24"/>
          <w:highlight w:val="none"/>
        </w:rPr>
        <w:t>竞投</w:t>
      </w:r>
      <w:r>
        <w:rPr>
          <w:rFonts w:ascii="Times New Roman" w:hAnsi="Times New Roman"/>
          <w:sz w:val="24"/>
          <w:szCs w:val="24"/>
          <w:highlight w:val="none"/>
        </w:rPr>
        <w:t>人需自行下载</w:t>
      </w:r>
      <w:r>
        <w:rPr>
          <w:rFonts w:hint="eastAsia" w:ascii="Times New Roman" w:hAnsi="Times New Roman"/>
          <w:sz w:val="24"/>
          <w:szCs w:val="24"/>
          <w:highlight w:val="none"/>
        </w:rPr>
        <w:t>采购须知</w:t>
      </w:r>
      <w:r>
        <w:rPr>
          <w:rFonts w:ascii="Times New Roman" w:hAnsi="Times New Roman"/>
          <w:sz w:val="24"/>
          <w:szCs w:val="24"/>
          <w:highlight w:val="none"/>
        </w:rPr>
        <w:t>。</w:t>
      </w:r>
    </w:p>
    <w:p>
      <w:pPr>
        <w:pStyle w:val="97"/>
        <w:spacing w:line="360" w:lineRule="auto"/>
        <w:ind w:left="431"/>
        <w:rPr>
          <w:rFonts w:ascii="Times New Roman" w:hAnsi="Times New Roman"/>
          <w:b/>
          <w:sz w:val="24"/>
          <w:szCs w:val="24"/>
          <w:highlight w:val="none"/>
        </w:rPr>
      </w:pPr>
      <w:r>
        <w:rPr>
          <w:rFonts w:hint="eastAsia" w:ascii="Times New Roman" w:hAnsi="Times New Roman"/>
          <w:b/>
          <w:sz w:val="24"/>
          <w:szCs w:val="24"/>
          <w:highlight w:val="none"/>
        </w:rPr>
        <w:t>四、</w:t>
      </w:r>
      <w:r>
        <w:rPr>
          <w:rFonts w:ascii="Times New Roman" w:hAnsi="Times New Roman"/>
          <w:b/>
          <w:sz w:val="24"/>
          <w:szCs w:val="24"/>
          <w:highlight w:val="none"/>
        </w:rPr>
        <w:t>本项目不收取投标保证金。</w:t>
      </w:r>
    </w:p>
    <w:p>
      <w:pPr>
        <w:pStyle w:val="97"/>
        <w:spacing w:line="360" w:lineRule="auto"/>
        <w:ind w:left="431"/>
        <w:rPr>
          <w:rFonts w:ascii="Times New Roman" w:hAnsi="Times New Roman"/>
          <w:b/>
          <w:sz w:val="24"/>
          <w:szCs w:val="24"/>
          <w:highlight w:val="none"/>
        </w:rPr>
      </w:pPr>
      <w:r>
        <w:rPr>
          <w:rFonts w:hint="eastAsia" w:ascii="Times New Roman" w:hAnsi="Times New Roman"/>
          <w:b/>
          <w:sz w:val="24"/>
          <w:szCs w:val="24"/>
          <w:highlight w:val="none"/>
        </w:rPr>
        <w:t>五、</w:t>
      </w:r>
      <w:r>
        <w:rPr>
          <w:rFonts w:ascii="Times New Roman" w:hAnsi="Times New Roman"/>
          <w:b/>
          <w:sz w:val="24"/>
          <w:szCs w:val="24"/>
          <w:highlight w:val="none"/>
        </w:rPr>
        <w:t>现场考察及招标答疑会</w:t>
      </w:r>
    </w:p>
    <w:p>
      <w:pPr>
        <w:pStyle w:val="97"/>
        <w:numPr>
          <w:ilvl w:val="0"/>
          <w:numId w:val="4"/>
        </w:numPr>
        <w:spacing w:line="360" w:lineRule="auto"/>
        <w:ind w:left="0" w:firstLine="426"/>
        <w:rPr>
          <w:rFonts w:ascii="Times New Roman" w:hAnsi="Times New Roman"/>
          <w:sz w:val="24"/>
          <w:szCs w:val="24"/>
          <w:highlight w:val="none"/>
        </w:rPr>
      </w:pPr>
      <w:r>
        <w:rPr>
          <w:rFonts w:ascii="Times New Roman" w:hAnsi="Times New Roman"/>
          <w:sz w:val="24"/>
          <w:szCs w:val="24"/>
          <w:highlight w:val="none"/>
        </w:rPr>
        <w:t>本项目不举行现场考察活动。</w:t>
      </w:r>
    </w:p>
    <w:p>
      <w:pPr>
        <w:pStyle w:val="97"/>
        <w:numPr>
          <w:ilvl w:val="0"/>
          <w:numId w:val="4"/>
        </w:numPr>
        <w:spacing w:line="360" w:lineRule="auto"/>
        <w:ind w:left="0" w:firstLine="426"/>
        <w:rPr>
          <w:rFonts w:ascii="Times New Roman" w:hAnsi="Times New Roman"/>
          <w:sz w:val="24"/>
          <w:szCs w:val="24"/>
          <w:highlight w:val="none"/>
        </w:rPr>
      </w:pPr>
      <w:r>
        <w:rPr>
          <w:rFonts w:ascii="Times New Roman" w:hAnsi="Times New Roman"/>
          <w:sz w:val="24"/>
          <w:szCs w:val="24"/>
          <w:highlight w:val="none"/>
        </w:rPr>
        <w:t>本项目不需要现场招标答疑会。</w:t>
      </w:r>
    </w:p>
    <w:p>
      <w:pPr>
        <w:pStyle w:val="97"/>
        <w:spacing w:line="360" w:lineRule="auto"/>
        <w:ind w:left="431"/>
        <w:rPr>
          <w:rFonts w:ascii="Times New Roman" w:hAnsi="Times New Roman"/>
          <w:b/>
          <w:sz w:val="24"/>
          <w:szCs w:val="24"/>
          <w:highlight w:val="none"/>
        </w:rPr>
      </w:pPr>
      <w:r>
        <w:rPr>
          <w:rFonts w:ascii="Times New Roman" w:hAnsi="Times New Roman"/>
          <w:b/>
          <w:sz w:val="24"/>
          <w:szCs w:val="24"/>
          <w:highlight w:val="none"/>
        </w:rPr>
        <w:t>六</w:t>
      </w:r>
      <w:r>
        <w:rPr>
          <w:rFonts w:hint="eastAsia" w:ascii="Times New Roman" w:hAnsi="Times New Roman"/>
          <w:b/>
          <w:sz w:val="24"/>
          <w:szCs w:val="24"/>
          <w:highlight w:val="none"/>
        </w:rPr>
        <w:t>、</w:t>
      </w:r>
      <w:r>
        <w:rPr>
          <w:rFonts w:ascii="Times New Roman" w:hAnsi="Times New Roman"/>
          <w:b/>
          <w:sz w:val="24"/>
          <w:szCs w:val="24"/>
          <w:highlight w:val="none"/>
        </w:rPr>
        <w:t>递交竞价文件截止时间及开标时间、递交方式、开标地点：</w:t>
      </w:r>
    </w:p>
    <w:p>
      <w:pPr>
        <w:pStyle w:val="97"/>
        <w:numPr>
          <w:ilvl w:val="0"/>
          <w:numId w:val="5"/>
        </w:numPr>
        <w:spacing w:line="360" w:lineRule="auto"/>
        <w:ind w:left="0" w:firstLine="709"/>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递交竞价文件截止时间及开标时间：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2022年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上</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pStyle w:val="97"/>
        <w:numPr>
          <w:ilvl w:val="0"/>
          <w:numId w:val="5"/>
        </w:numPr>
        <w:spacing w:line="360" w:lineRule="auto"/>
        <w:ind w:left="0" w:firstLine="709"/>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递交竞价文件方式：在本平台上传电子竞价文件。</w:t>
      </w:r>
    </w:p>
    <w:p>
      <w:pPr>
        <w:pStyle w:val="97"/>
        <w:numPr>
          <w:ilvl w:val="0"/>
          <w:numId w:val="5"/>
        </w:numPr>
        <w:spacing w:line="360" w:lineRule="auto"/>
        <w:ind w:left="0" w:firstLine="709"/>
        <w:rPr>
          <w:rFonts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竞价文件解密时间：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2022年</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28</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上</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午</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:00-</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:00</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。逾时解密的竞价文件将被确认为无效投标。解密完成后及时公布开标结果，竞投人可登录本平台查看开标情况。</w:t>
      </w:r>
    </w:p>
    <w:p>
      <w:pPr>
        <w:pStyle w:val="159"/>
        <w:numPr>
          <w:ilvl w:val="0"/>
          <w:numId w:val="5"/>
        </w:numPr>
        <w:spacing w:line="360" w:lineRule="auto"/>
        <w:ind w:left="0" w:firstLine="709" w:firstLineChars="0"/>
        <w:jc w:val="both"/>
        <w:rPr>
          <w:rFonts w:ascii="宋体" w:hAnsi="宋体" w:cs="宋体"/>
          <w:color w:val="000000"/>
          <w:sz w:val="24"/>
          <w:highlight w:val="none"/>
        </w:rPr>
      </w:pPr>
      <w:r>
        <w:rPr>
          <w:rFonts w:ascii="宋体" w:hAnsi="宋体" w:cs="宋体"/>
          <w:color w:val="000000"/>
          <w:sz w:val="24"/>
          <w:highlight w:val="none"/>
        </w:rPr>
        <w:t>本项目一律不接受纸质</w:t>
      </w:r>
      <w:r>
        <w:rPr>
          <w:rFonts w:hint="eastAsia" w:ascii="宋体" w:hAnsi="宋体" w:cs="宋体"/>
          <w:color w:val="000000"/>
          <w:sz w:val="24"/>
          <w:highlight w:val="none"/>
        </w:rPr>
        <w:t>竞价</w:t>
      </w:r>
      <w:r>
        <w:rPr>
          <w:rFonts w:ascii="宋体" w:hAnsi="宋体" w:cs="宋体"/>
          <w:color w:val="000000"/>
          <w:sz w:val="24"/>
          <w:highlight w:val="none"/>
        </w:rPr>
        <w:t>文件，只接受具备法律效力的电子竞价文件。</w:t>
      </w:r>
      <w:r>
        <w:rPr>
          <w:rFonts w:hint="eastAsia" w:ascii="宋体" w:hAnsi="宋体" w:cs="宋体"/>
          <w:color w:val="000000"/>
          <w:sz w:val="24"/>
          <w:highlight w:val="none"/>
        </w:rPr>
        <w:t>竞投</w:t>
      </w:r>
      <w:r>
        <w:rPr>
          <w:rFonts w:ascii="宋体" w:hAnsi="宋体" w:cs="宋体"/>
          <w:color w:val="000000"/>
          <w:sz w:val="24"/>
          <w:highlight w:val="none"/>
        </w:rPr>
        <w:t>人参加投标前，应当到电子认证服务机构办理广州产权交易所有限公司招投标平台CA数字证书和电子签章。办理详情请参考广州粮食交易综合服务平台中交易指南栏目（网址：</w:t>
      </w:r>
      <w:r>
        <w:rPr>
          <w:highlight w:val="none"/>
        </w:rPr>
        <w:fldChar w:fldCharType="begin"/>
      </w:r>
      <w:r>
        <w:rPr>
          <w:highlight w:val="none"/>
        </w:rPr>
        <w:instrText xml:space="preserve"> HYPERLINK "http://liangshi.gzaee.cn/" </w:instrText>
      </w:r>
      <w:r>
        <w:rPr>
          <w:highlight w:val="none"/>
        </w:rPr>
        <w:fldChar w:fldCharType="separate"/>
      </w:r>
      <w:r>
        <w:rPr>
          <w:rFonts w:ascii="宋体" w:hAnsi="宋体" w:cs="宋体"/>
          <w:color w:val="000000"/>
          <w:sz w:val="24"/>
          <w:highlight w:val="none"/>
        </w:rPr>
        <w:t>http://liangshi.gzaee.cn</w:t>
      </w:r>
      <w:r>
        <w:rPr>
          <w:rFonts w:ascii="宋体" w:hAnsi="宋体" w:cs="宋体"/>
          <w:color w:val="000000"/>
          <w:sz w:val="24"/>
          <w:highlight w:val="none"/>
        </w:rPr>
        <w:fldChar w:fldCharType="end"/>
      </w:r>
      <w:r>
        <w:rPr>
          <w:rFonts w:ascii="宋体" w:hAnsi="宋体" w:cs="宋体"/>
          <w:color w:val="000000"/>
          <w:sz w:val="24"/>
          <w:highlight w:val="none"/>
        </w:rPr>
        <w:t>）。如已办理CA证书，投标前请确认CA有效期。</w:t>
      </w:r>
    </w:p>
    <w:p>
      <w:pPr>
        <w:pStyle w:val="97"/>
        <w:numPr>
          <w:ilvl w:val="0"/>
          <w:numId w:val="5"/>
        </w:numPr>
        <w:spacing w:line="360" w:lineRule="auto"/>
        <w:ind w:left="0" w:firstLine="709"/>
        <w:rPr>
          <w:rFonts w:ascii="Times New Roman" w:hAnsi="Times New Roman"/>
          <w:sz w:val="24"/>
          <w:szCs w:val="24"/>
          <w:highlight w:val="none"/>
        </w:rPr>
      </w:pPr>
      <w:r>
        <w:rPr>
          <w:rFonts w:hint="eastAsia" w:ascii="Times New Roman" w:hAnsi="Times New Roman"/>
          <w:sz w:val="24"/>
          <w:szCs w:val="24"/>
          <w:highlight w:val="none"/>
        </w:rPr>
        <w:t>开标地点：在线开标。</w:t>
      </w:r>
    </w:p>
    <w:p>
      <w:pPr>
        <w:pStyle w:val="97"/>
        <w:numPr>
          <w:ilvl w:val="0"/>
          <w:numId w:val="5"/>
        </w:numPr>
        <w:spacing w:line="360" w:lineRule="auto"/>
        <w:ind w:left="0" w:firstLine="709"/>
        <w:rPr>
          <w:rFonts w:ascii="Times New Roman" w:hAnsi="Times New Roman"/>
          <w:sz w:val="24"/>
          <w:szCs w:val="24"/>
          <w:highlight w:val="none"/>
        </w:rPr>
      </w:pPr>
      <w:r>
        <w:rPr>
          <w:rFonts w:hint="eastAsia" w:ascii="Times New Roman" w:hAnsi="Times New Roman"/>
          <w:sz w:val="24"/>
          <w:szCs w:val="24"/>
          <w:highlight w:val="none"/>
        </w:rPr>
        <w:t>样品提交时间：</w:t>
      </w:r>
      <w:r>
        <w:rPr>
          <w:rFonts w:hint="eastAsia" w:ascii="Times New Roman" w:hAnsi="Times New Roman"/>
          <w:sz w:val="24"/>
          <w:szCs w:val="24"/>
          <w:highlight w:val="none"/>
        </w:rPr>
        <w:t>2022年</w:t>
      </w:r>
      <w:r>
        <w:rPr>
          <w:rFonts w:hint="eastAsia" w:ascii="Times New Roman" w:hAnsi="Times New Roman"/>
          <w:sz w:val="24"/>
          <w:szCs w:val="24"/>
          <w:highlight w:val="none"/>
          <w:lang w:val="en-US" w:eastAsia="zh-CN"/>
        </w:rPr>
        <w:t>11</w:t>
      </w:r>
      <w:r>
        <w:rPr>
          <w:rFonts w:hint="eastAsia" w:ascii="Times New Roman" w:hAnsi="Times New Roman"/>
          <w:sz w:val="24"/>
          <w:szCs w:val="24"/>
          <w:highlight w:val="none"/>
        </w:rPr>
        <w:t>月</w:t>
      </w:r>
      <w:r>
        <w:rPr>
          <w:rFonts w:hint="eastAsia" w:ascii="Times New Roman" w:hAnsi="Times New Roman"/>
          <w:sz w:val="24"/>
          <w:szCs w:val="24"/>
          <w:highlight w:val="none"/>
          <w:lang w:val="en-US" w:eastAsia="zh-CN"/>
        </w:rPr>
        <w:t>28</w:t>
      </w:r>
      <w:r>
        <w:rPr>
          <w:rFonts w:hint="eastAsia" w:ascii="Times New Roman" w:hAnsi="Times New Roman"/>
          <w:sz w:val="24"/>
          <w:szCs w:val="24"/>
          <w:highlight w:val="none"/>
        </w:rPr>
        <w:t>日</w:t>
      </w:r>
      <w:r>
        <w:rPr>
          <w:rFonts w:hint="eastAsia" w:ascii="Times New Roman" w:hAnsi="Times New Roman"/>
          <w:sz w:val="24"/>
          <w:szCs w:val="24"/>
          <w:highlight w:val="none"/>
          <w:lang w:val="en-US" w:eastAsia="zh-CN"/>
        </w:rPr>
        <w:t>上</w:t>
      </w:r>
      <w:r>
        <w:rPr>
          <w:rFonts w:hint="eastAsia" w:ascii="Times New Roman" w:hAnsi="Times New Roman"/>
          <w:sz w:val="24"/>
          <w:szCs w:val="24"/>
          <w:highlight w:val="none"/>
        </w:rPr>
        <w:t>午9:00-10:00</w:t>
      </w:r>
      <w:r>
        <w:rPr>
          <w:rFonts w:hint="eastAsia" w:ascii="Times New Roman" w:hAnsi="Times New Roman"/>
          <w:sz w:val="24"/>
          <w:szCs w:val="24"/>
          <w:highlight w:val="none"/>
        </w:rPr>
        <w:t>。</w:t>
      </w:r>
    </w:p>
    <w:p>
      <w:pPr>
        <w:pStyle w:val="97"/>
        <w:numPr>
          <w:ilvl w:val="0"/>
          <w:numId w:val="5"/>
        </w:numPr>
        <w:spacing w:line="360" w:lineRule="auto"/>
        <w:ind w:left="0" w:firstLine="709"/>
        <w:rPr>
          <w:rFonts w:ascii="Times New Roman" w:hAnsi="Times New Roman"/>
          <w:sz w:val="24"/>
          <w:szCs w:val="24"/>
          <w:highlight w:val="none"/>
        </w:rPr>
      </w:pPr>
      <w:r>
        <w:rPr>
          <w:rFonts w:hint="eastAsia" w:ascii="Times New Roman" w:hAnsi="Times New Roman"/>
          <w:sz w:val="24"/>
          <w:szCs w:val="24"/>
          <w:highlight w:val="none"/>
        </w:rPr>
        <w:t>样品提交地点：广州市越秀区流花路123号广州越秀国际会议中心北塔</w:t>
      </w:r>
      <w:r>
        <w:rPr>
          <w:rFonts w:ascii="Times New Roman" w:hAnsi="Times New Roman"/>
          <w:sz w:val="24"/>
          <w:szCs w:val="24"/>
          <w:highlight w:val="none"/>
        </w:rPr>
        <w:t>8</w:t>
      </w:r>
      <w:r>
        <w:rPr>
          <w:rFonts w:hint="eastAsia" w:ascii="Times New Roman" w:hAnsi="Times New Roman"/>
          <w:sz w:val="24"/>
          <w:szCs w:val="24"/>
          <w:highlight w:val="none"/>
        </w:rPr>
        <w:t>楼。</w:t>
      </w:r>
    </w:p>
    <w:p>
      <w:pPr>
        <w:pStyle w:val="97"/>
        <w:spacing w:line="360" w:lineRule="auto"/>
        <w:ind w:left="431"/>
        <w:rPr>
          <w:rFonts w:ascii="Times New Roman" w:hAnsi="Times New Roman"/>
          <w:b/>
          <w:sz w:val="24"/>
          <w:szCs w:val="24"/>
          <w:highlight w:val="none"/>
        </w:rPr>
      </w:pPr>
      <w:r>
        <w:rPr>
          <w:rFonts w:hint="eastAsia" w:ascii="Times New Roman" w:hAnsi="Times New Roman"/>
          <w:b/>
          <w:sz w:val="24"/>
          <w:szCs w:val="24"/>
          <w:highlight w:val="none"/>
        </w:rPr>
        <w:t>七、</w:t>
      </w:r>
      <w:r>
        <w:rPr>
          <w:rFonts w:ascii="Times New Roman" w:hAnsi="Times New Roman"/>
          <w:b/>
          <w:sz w:val="24"/>
          <w:szCs w:val="24"/>
          <w:highlight w:val="none"/>
        </w:rPr>
        <w:t>采购信息发布及结果公告网站</w:t>
      </w:r>
    </w:p>
    <w:p>
      <w:pPr>
        <w:pStyle w:val="97"/>
        <w:spacing w:line="360" w:lineRule="auto"/>
        <w:ind w:firstLine="424" w:firstLineChars="177"/>
        <w:rPr>
          <w:rFonts w:ascii="Times New Roman" w:hAnsi="Times New Roman"/>
          <w:sz w:val="24"/>
          <w:szCs w:val="24"/>
          <w:highlight w:val="none"/>
        </w:rPr>
      </w:pPr>
      <w:r>
        <w:rPr>
          <w:rFonts w:hint="eastAsia" w:ascii="Times New Roman" w:hAnsi="Times New Roman"/>
          <w:sz w:val="24"/>
          <w:szCs w:val="24"/>
          <w:highlight w:val="none"/>
        </w:rPr>
        <w:t>广州粮食交易综合服务平台（</w:t>
      </w:r>
      <w:r>
        <w:rPr>
          <w:rFonts w:hint="eastAsia" w:ascii="Times New Roman"/>
          <w:sz w:val="24"/>
          <w:szCs w:val="24"/>
          <w:highlight w:val="none"/>
        </w:rPr>
        <w:t>http://liangshi.gzaee.cn</w:t>
      </w:r>
      <w:r>
        <w:rPr>
          <w:rFonts w:hint="eastAsia" w:ascii="Times New Roman" w:hAnsi="Times New Roman"/>
          <w:sz w:val="24"/>
          <w:szCs w:val="24"/>
          <w:highlight w:val="none"/>
        </w:rPr>
        <w:t>）</w:t>
      </w:r>
    </w:p>
    <w:p>
      <w:pPr>
        <w:pStyle w:val="97"/>
        <w:spacing w:line="360" w:lineRule="auto"/>
        <w:ind w:firstLine="424" w:firstLineChars="177"/>
        <w:rPr>
          <w:rFonts w:ascii="Times New Roman" w:hAnsi="Times New Roman"/>
          <w:sz w:val="24"/>
          <w:szCs w:val="24"/>
          <w:highlight w:val="none"/>
        </w:rPr>
      </w:pPr>
      <w:r>
        <w:rPr>
          <w:rFonts w:hint="eastAsia" w:ascii="Times New Roman" w:hAnsi="Times New Roman"/>
          <w:sz w:val="24"/>
          <w:szCs w:val="24"/>
          <w:highlight w:val="none"/>
        </w:rPr>
        <w:t>广州农村产权交易所有限公司（http://www.gzaee.cn/）</w:t>
      </w:r>
      <w:r>
        <w:rPr>
          <w:rFonts w:ascii="Times New Roman" w:hAnsi="Times New Roman"/>
          <w:sz w:val="24"/>
          <w:szCs w:val="24"/>
          <w:highlight w:val="none"/>
        </w:rPr>
        <w:t>。</w:t>
      </w:r>
    </w:p>
    <w:p>
      <w:pPr>
        <w:pStyle w:val="97"/>
        <w:spacing w:line="360" w:lineRule="auto"/>
        <w:ind w:left="431"/>
        <w:rPr>
          <w:rFonts w:ascii="Times New Roman" w:hAnsi="Times New Roman"/>
          <w:b/>
          <w:sz w:val="24"/>
          <w:szCs w:val="24"/>
          <w:highlight w:val="none"/>
        </w:rPr>
      </w:pPr>
      <w:r>
        <w:rPr>
          <w:rFonts w:hint="eastAsia" w:ascii="Times New Roman" w:hAnsi="Times New Roman"/>
          <w:b/>
          <w:sz w:val="24"/>
          <w:szCs w:val="24"/>
          <w:highlight w:val="none"/>
        </w:rPr>
        <w:t>八、</w:t>
      </w:r>
      <w:r>
        <w:rPr>
          <w:rFonts w:ascii="Times New Roman" w:hAnsi="Times New Roman"/>
          <w:b/>
          <w:sz w:val="24"/>
          <w:szCs w:val="24"/>
          <w:highlight w:val="none"/>
        </w:rPr>
        <w:t>采购人名称、地址和联系方式：</w:t>
      </w:r>
    </w:p>
    <w:p>
      <w:pPr>
        <w:pStyle w:val="97"/>
        <w:numPr>
          <w:ilvl w:val="0"/>
          <w:numId w:val="6"/>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采购人</w:t>
      </w:r>
    </w:p>
    <w:p>
      <w:pPr>
        <w:pStyle w:val="97"/>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采购人名称：</w:t>
      </w:r>
      <w:r>
        <w:rPr>
          <w:rFonts w:hint="eastAsia" w:asciiTheme="minorEastAsia" w:hAnsiTheme="minorEastAsia" w:eastAsiaTheme="minorEastAsia" w:cstheme="minorEastAsia"/>
          <w:color w:val="auto"/>
          <w:sz w:val="24"/>
          <w:szCs w:val="24"/>
          <w:highlight w:val="none"/>
          <w:lang w:eastAsia="zh-CN"/>
        </w:rPr>
        <w:t>广州市储备粮管理中心</w:t>
      </w:r>
    </w:p>
    <w:p>
      <w:pPr>
        <w:pStyle w:val="97"/>
        <w:spacing w:line="360" w:lineRule="auto"/>
        <w:ind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采购人地址：</w:t>
      </w:r>
      <w:r>
        <w:rPr>
          <w:rFonts w:hint="eastAsia" w:asciiTheme="minorEastAsia" w:hAnsiTheme="minorEastAsia" w:eastAsiaTheme="minorEastAsia" w:cstheme="minorEastAsia"/>
          <w:color w:val="auto"/>
          <w:sz w:val="24"/>
          <w:szCs w:val="24"/>
          <w:highlight w:val="none"/>
          <w:lang w:eastAsia="zh-CN"/>
        </w:rPr>
        <w:t>越秀区小北路</w:t>
      </w:r>
      <w:r>
        <w:rPr>
          <w:rFonts w:hint="eastAsia" w:asciiTheme="minorEastAsia" w:hAnsiTheme="minorEastAsia" w:eastAsiaTheme="minorEastAsia" w:cstheme="minorEastAsia"/>
          <w:color w:val="auto"/>
          <w:sz w:val="24"/>
          <w:szCs w:val="24"/>
          <w:highlight w:val="none"/>
          <w:lang w:val="en-US" w:eastAsia="zh-CN"/>
        </w:rPr>
        <w:t>183号金和大厦17楼</w:t>
      </w:r>
    </w:p>
    <w:p>
      <w:pPr>
        <w:pStyle w:val="97"/>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 系 人：</w:t>
      </w:r>
      <w:r>
        <w:rPr>
          <w:rFonts w:hint="eastAsia" w:asciiTheme="minorEastAsia" w:hAnsiTheme="minorEastAsia" w:eastAsiaTheme="minorEastAsia" w:cstheme="minorEastAsia"/>
          <w:color w:val="auto"/>
          <w:sz w:val="24"/>
          <w:szCs w:val="24"/>
          <w:highlight w:val="none"/>
          <w:lang w:eastAsia="zh-CN"/>
        </w:rPr>
        <w:t>张毅</w:t>
      </w:r>
    </w:p>
    <w:p>
      <w:pPr>
        <w:pStyle w:val="97"/>
        <w:spacing w:line="360" w:lineRule="auto"/>
        <w:ind w:firstLine="480" w:firstLineChars="200"/>
        <w:rPr>
          <w:rFonts w:hint="default" w:eastAsia="宋体"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联系电话：</w:t>
      </w:r>
      <w:r>
        <w:rPr>
          <w:rFonts w:ascii="宋体" w:hAnsi="宋体" w:eastAsia="宋体" w:cs="宋体"/>
          <w:highlight w:val="none"/>
          <w:shd w:val="clear" w:color="auto" w:fill="FFFFFF"/>
        </w:rPr>
        <w:t>020-83702</w:t>
      </w:r>
      <w:r>
        <w:rPr>
          <w:rFonts w:hint="eastAsia" w:hAnsi="宋体" w:cs="宋体"/>
          <w:highlight w:val="none"/>
          <w:shd w:val="clear" w:color="auto" w:fill="FFFFFF"/>
          <w:lang w:val="en-US" w:eastAsia="zh-CN"/>
        </w:rPr>
        <w:t>857</w:t>
      </w:r>
    </w:p>
    <w:p>
      <w:pPr>
        <w:pStyle w:val="97"/>
        <w:numPr>
          <w:ilvl w:val="0"/>
          <w:numId w:val="6"/>
        </w:numPr>
        <w:spacing w:line="360" w:lineRule="auto"/>
        <w:ind w:left="0" w:firstLine="431"/>
        <w:rPr>
          <w:rFonts w:ascii="Times New Roman" w:hAnsi="Times New Roman"/>
          <w:sz w:val="24"/>
          <w:szCs w:val="24"/>
          <w:highlight w:val="none"/>
        </w:rPr>
      </w:pPr>
      <w:r>
        <w:rPr>
          <w:rFonts w:ascii="Times New Roman" w:hAnsi="Times New Roman"/>
          <w:sz w:val="24"/>
          <w:szCs w:val="24"/>
          <w:highlight w:val="none"/>
        </w:rPr>
        <w:t>采购代理机构</w:t>
      </w:r>
    </w:p>
    <w:p>
      <w:pPr>
        <w:pStyle w:val="97"/>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采购代理机构名称：广州农村产权交易所有限公司</w:t>
      </w:r>
    </w:p>
    <w:p>
      <w:pPr>
        <w:pStyle w:val="97"/>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采购代理机构地址：</w:t>
      </w:r>
      <w:r>
        <w:rPr>
          <w:rFonts w:hint="eastAsia" w:ascii="Times New Roman" w:hAnsi="Times New Roman"/>
          <w:sz w:val="24"/>
          <w:szCs w:val="24"/>
          <w:highlight w:val="none"/>
        </w:rPr>
        <w:t>广州市越秀区流花路123号广州越秀国际会议中心北塔9楼</w:t>
      </w:r>
    </w:p>
    <w:p>
      <w:pPr>
        <w:pStyle w:val="97"/>
        <w:spacing w:line="360" w:lineRule="auto"/>
        <w:ind w:firstLine="480" w:firstLineChars="200"/>
        <w:rPr>
          <w:rFonts w:ascii="Times New Roman" w:hAnsi="Times New Roman" w:eastAsiaTheme="minorEastAsia"/>
          <w:sz w:val="24"/>
          <w:szCs w:val="24"/>
          <w:highlight w:val="none"/>
        </w:rPr>
      </w:pPr>
      <w:r>
        <w:rPr>
          <w:rFonts w:ascii="Times New Roman" w:hAnsi="Times New Roman"/>
          <w:sz w:val="24"/>
          <w:szCs w:val="24"/>
          <w:highlight w:val="none"/>
        </w:rPr>
        <w:t>采购代理机构联系人：</w:t>
      </w:r>
      <w:r>
        <w:rPr>
          <w:rFonts w:hint="eastAsia" w:ascii="Times New Roman" w:hAnsi="Times New Roman" w:eastAsiaTheme="minorEastAsia"/>
          <w:sz w:val="24"/>
          <w:szCs w:val="24"/>
          <w:highlight w:val="none"/>
        </w:rPr>
        <w:t>罗小姐、陈先生</w:t>
      </w:r>
    </w:p>
    <w:p>
      <w:pPr>
        <w:pStyle w:val="97"/>
        <w:spacing w:line="360" w:lineRule="auto"/>
        <w:ind w:firstLine="480" w:firstLineChars="200"/>
        <w:rPr>
          <w:rFonts w:ascii="Times New Roman" w:hAnsi="Times New Roman" w:eastAsiaTheme="minorEastAsia"/>
          <w:color w:val="000000" w:themeColor="text1"/>
          <w:sz w:val="24"/>
          <w:szCs w:val="24"/>
          <w:highlight w:val="none"/>
          <w14:textFill>
            <w14:solidFill>
              <w14:schemeClr w14:val="tx1"/>
            </w14:solidFill>
          </w14:textFill>
        </w:rPr>
      </w:pPr>
      <w:r>
        <w:rPr>
          <w:rFonts w:ascii="Times New Roman" w:hAnsi="Times New Roman"/>
          <w:sz w:val="24"/>
          <w:szCs w:val="24"/>
          <w:highlight w:val="none"/>
        </w:rPr>
        <w:t>采购代理机构联系电话：</w:t>
      </w:r>
      <w:r>
        <w:rPr>
          <w:rFonts w:ascii="Times New Roman" w:hAnsi="Times New Roman" w:eastAsiaTheme="minorEastAsia"/>
          <w:sz w:val="24"/>
          <w:szCs w:val="24"/>
          <w:highlight w:val="none"/>
        </w:rPr>
        <w:t>020-89160</w:t>
      </w:r>
      <w:r>
        <w:rPr>
          <w:rFonts w:hint="eastAsia" w:ascii="Times New Roman" w:hAnsi="Times New Roman" w:eastAsiaTheme="minorEastAsia"/>
          <w:sz w:val="24"/>
          <w:szCs w:val="24"/>
          <w:highlight w:val="none"/>
        </w:rPr>
        <w:t>956</w:t>
      </w:r>
      <w:r>
        <w:rPr>
          <w:rFonts w:ascii="Times New Roman" w:hAnsi="Times New Roman" w:eastAsiaTheme="minorEastAsia"/>
          <w:color w:val="000000" w:themeColor="text1"/>
          <w:sz w:val="24"/>
          <w:szCs w:val="24"/>
          <w:highlight w:val="none"/>
          <w14:textFill>
            <w14:solidFill>
              <w14:schemeClr w14:val="tx1"/>
            </w14:solidFill>
          </w14:textFill>
        </w:rPr>
        <w:t>，020-89160</w:t>
      </w:r>
      <w:r>
        <w:rPr>
          <w:rFonts w:hint="eastAsia" w:ascii="Times New Roman" w:hAnsi="Times New Roman" w:eastAsiaTheme="minorEastAsia"/>
          <w:color w:val="000000" w:themeColor="text1"/>
          <w:sz w:val="24"/>
          <w:szCs w:val="24"/>
          <w:highlight w:val="none"/>
          <w14:textFill>
            <w14:solidFill>
              <w14:schemeClr w14:val="tx1"/>
            </w14:solidFill>
          </w14:textFill>
        </w:rPr>
        <w:t>781</w:t>
      </w:r>
    </w:p>
    <w:p>
      <w:pPr>
        <w:pStyle w:val="97"/>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采购代理机构传真：020-89160999</w:t>
      </w:r>
    </w:p>
    <w:p>
      <w:pPr>
        <w:pStyle w:val="97"/>
        <w:spacing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E-mail：</w:t>
      </w:r>
      <w:r>
        <w:rPr>
          <w:highlight w:val="none"/>
        </w:rPr>
        <w:fldChar w:fldCharType="begin"/>
      </w:r>
      <w:r>
        <w:rPr>
          <w:highlight w:val="none"/>
        </w:rPr>
        <w:instrText xml:space="preserve"> HYPERLINK "mailto:liangshi@email.gemas.com.cn" </w:instrText>
      </w:r>
      <w:r>
        <w:rPr>
          <w:highlight w:val="none"/>
        </w:rPr>
        <w:fldChar w:fldCharType="separate"/>
      </w:r>
      <w:r>
        <w:rPr>
          <w:rStyle w:val="43"/>
          <w:rFonts w:ascii="Times New Roman" w:hAnsi="Times New Roman"/>
          <w:sz w:val="24"/>
          <w:szCs w:val="24"/>
          <w:highlight w:val="none"/>
        </w:rPr>
        <w:t>liangshi@email.gemas.com.cn</w:t>
      </w:r>
      <w:r>
        <w:rPr>
          <w:rStyle w:val="43"/>
          <w:rFonts w:ascii="Times New Roman" w:hAnsi="Times New Roman"/>
          <w:sz w:val="24"/>
          <w:szCs w:val="24"/>
          <w:highlight w:val="none"/>
        </w:rPr>
        <w:fldChar w:fldCharType="end"/>
      </w:r>
    </w:p>
    <w:p>
      <w:pPr>
        <w:pStyle w:val="97"/>
        <w:spacing w:line="360" w:lineRule="auto"/>
        <w:jc w:val="right"/>
        <w:rPr>
          <w:rFonts w:ascii="Times New Roman" w:hAnsi="Times New Roman"/>
          <w:sz w:val="24"/>
          <w:szCs w:val="24"/>
          <w:highlight w:val="none"/>
        </w:rPr>
      </w:pPr>
      <w:r>
        <w:rPr>
          <w:rFonts w:ascii="Times New Roman" w:hAnsi="Times New Roman"/>
          <w:sz w:val="24"/>
          <w:szCs w:val="24"/>
          <w:highlight w:val="none"/>
        </w:rPr>
        <w:t>采购人：</w:t>
      </w:r>
      <w:r>
        <w:rPr>
          <w:rFonts w:hint="eastAsia" w:hAnsi="宋体"/>
          <w:bCs/>
          <w:color w:val="000000" w:themeColor="text1"/>
          <w:spacing w:val="-4"/>
          <w:sz w:val="24"/>
          <w:szCs w:val="24"/>
          <w:highlight w:val="none"/>
          <w14:textFill>
            <w14:solidFill>
              <w14:schemeClr w14:val="tx1"/>
            </w14:solidFill>
          </w14:textFill>
        </w:rPr>
        <w:t>广州市储备粮管理中心</w:t>
      </w:r>
    </w:p>
    <w:p>
      <w:pPr>
        <w:pStyle w:val="97"/>
        <w:spacing w:line="360" w:lineRule="auto"/>
        <w:jc w:val="right"/>
        <w:rPr>
          <w:rFonts w:ascii="Times New Roman" w:hAnsi="Times New Roman"/>
          <w:sz w:val="24"/>
          <w:szCs w:val="24"/>
          <w:highlight w:val="none"/>
        </w:rPr>
      </w:pPr>
      <w:r>
        <w:rPr>
          <w:rFonts w:ascii="Times New Roman" w:hAnsi="Times New Roman"/>
          <w:sz w:val="24"/>
          <w:szCs w:val="24"/>
          <w:highlight w:val="none"/>
        </w:rPr>
        <w:t>采购代理机构：广州农村产权交易所有限公司</w:t>
      </w:r>
    </w:p>
    <w:p>
      <w:pPr>
        <w:pStyle w:val="97"/>
        <w:spacing w:line="360" w:lineRule="auto"/>
        <w:jc w:val="right"/>
        <w:rPr>
          <w:rFonts w:ascii="Times New Roman" w:hAnsi="Times New Roman"/>
          <w:sz w:val="24"/>
          <w:szCs w:val="24"/>
          <w:highlight w:val="none"/>
        </w:rPr>
      </w:pPr>
      <w:r>
        <w:rPr>
          <w:rFonts w:ascii="Times New Roman" w:hAnsi="Times New Roman"/>
          <w:sz w:val="24"/>
          <w:szCs w:val="24"/>
          <w:highlight w:val="none"/>
        </w:rPr>
        <w:t>日期： 20</w:t>
      </w:r>
      <w:r>
        <w:rPr>
          <w:rFonts w:hint="eastAsia" w:ascii="Times New Roman" w:hAnsi="Times New Roman"/>
          <w:sz w:val="24"/>
          <w:szCs w:val="24"/>
          <w:highlight w:val="none"/>
        </w:rPr>
        <w:t>22</w:t>
      </w:r>
      <w:r>
        <w:rPr>
          <w:rFonts w:ascii="Times New Roman" w:hAnsi="Times New Roman"/>
          <w:sz w:val="24"/>
          <w:szCs w:val="24"/>
          <w:highlight w:val="none"/>
        </w:rPr>
        <w:t>年</w:t>
      </w:r>
      <w:r>
        <w:rPr>
          <w:rFonts w:hint="eastAsia" w:ascii="Times New Roman" w:hAnsi="Times New Roman"/>
          <w:sz w:val="24"/>
          <w:szCs w:val="24"/>
          <w:highlight w:val="none"/>
          <w:lang w:val="en-US" w:eastAsia="zh-CN"/>
        </w:rPr>
        <w:t>11</w:t>
      </w:r>
      <w:r>
        <w:rPr>
          <w:rFonts w:ascii="Times New Roman" w:hAnsi="Times New Roman"/>
          <w:sz w:val="24"/>
          <w:szCs w:val="24"/>
          <w:highlight w:val="none"/>
        </w:rPr>
        <w:t>月</w:t>
      </w:r>
      <w:r>
        <w:rPr>
          <w:rFonts w:hint="eastAsia" w:ascii="Times New Roman" w:hAnsi="Times New Roman"/>
          <w:sz w:val="24"/>
          <w:szCs w:val="24"/>
          <w:highlight w:val="none"/>
        </w:rPr>
        <w:t xml:space="preserve">  </w:t>
      </w:r>
      <w:r>
        <w:rPr>
          <w:rFonts w:ascii="Times New Roman" w:hAnsi="Times New Roman"/>
          <w:sz w:val="24"/>
          <w:szCs w:val="24"/>
          <w:highlight w:val="none"/>
        </w:rPr>
        <w:t>日</w:t>
      </w:r>
    </w:p>
    <w:bookmarkEnd w:id="14"/>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br w:type="page"/>
      </w:r>
    </w:p>
    <w:p>
      <w:pPr>
        <w:pStyle w:val="2"/>
        <w:spacing w:before="200" w:after="200" w:line="360" w:lineRule="auto"/>
        <w:jc w:val="center"/>
        <w:rPr>
          <w:rFonts w:ascii="宋体" w:hAnsi="宋体"/>
          <w:color w:val="000000" w:themeColor="text1"/>
          <w:sz w:val="32"/>
          <w:szCs w:val="30"/>
          <w:highlight w:val="none"/>
          <w14:textFill>
            <w14:solidFill>
              <w14:schemeClr w14:val="tx1"/>
            </w14:solidFill>
          </w14:textFill>
        </w:rPr>
      </w:pPr>
      <w:bookmarkStart w:id="15" w:name="_Toc42394495"/>
      <w:bookmarkStart w:id="16" w:name="_Toc98578991"/>
      <w:bookmarkStart w:id="17" w:name="_Toc101843108"/>
      <w:bookmarkStart w:id="18" w:name="_Toc98580273"/>
      <w:bookmarkStart w:id="19" w:name="_Toc101951241"/>
      <w:bookmarkStart w:id="20" w:name="_Toc98579590"/>
      <w:bookmarkStart w:id="21" w:name="_Toc41884682"/>
      <w:bookmarkStart w:id="22" w:name="_Toc42313150"/>
      <w:bookmarkStart w:id="23" w:name="_Toc11694"/>
      <w:bookmarkStart w:id="24" w:name="_Toc175644385"/>
      <w:bookmarkStart w:id="25" w:name="_Toc98579049"/>
      <w:bookmarkStart w:id="26" w:name="_Toc42394652"/>
      <w:bookmarkStart w:id="27" w:name="_Toc46308679"/>
      <w:bookmarkStart w:id="28" w:name="_Toc46308523"/>
      <w:bookmarkStart w:id="29" w:name="_Toc98035084"/>
      <w:bookmarkStart w:id="30" w:name="_Toc41723912"/>
      <w:bookmarkStart w:id="31" w:name="_Toc101771355"/>
      <w:bookmarkStart w:id="32" w:name="_Toc101775108"/>
      <w:r>
        <w:rPr>
          <w:rFonts w:hint="eastAsia" w:ascii="宋体" w:hAnsi="宋体"/>
          <w:color w:val="000000" w:themeColor="text1"/>
          <w:sz w:val="32"/>
          <w:szCs w:val="30"/>
          <w:highlight w:val="none"/>
          <w14:textFill>
            <w14:solidFill>
              <w14:schemeClr w14:val="tx1"/>
            </w14:solidFill>
          </w14:textFill>
        </w:rPr>
        <w:t>第一章 竞投人须知</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spacing w:after="156" w:afterLines="50"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必须认真阅读采购须知中所有的事项、格式、条款和用户需求书等。竞投人没有按照采购须知要求提交全部资料，或者竞价文件没有对采购须知在各方面都做出实质性响应，是竞投人的风险，并可能导致其投标无效或被拒绝。</w:t>
      </w:r>
    </w:p>
    <w:p>
      <w:pPr>
        <w:pStyle w:val="3"/>
        <w:ind w:left="540"/>
        <w:jc w:val="left"/>
        <w:rPr>
          <w:rFonts w:hAnsi="宋体" w:cs="Times New Roman"/>
          <w:b/>
          <w:color w:val="000000" w:themeColor="text1"/>
          <w:sz w:val="24"/>
          <w:szCs w:val="24"/>
          <w:highlight w:val="none"/>
          <w14:textFill>
            <w14:solidFill>
              <w14:schemeClr w14:val="tx1"/>
            </w14:solidFill>
          </w14:textFill>
        </w:rPr>
      </w:pPr>
      <w:bookmarkStart w:id="33" w:name="_Toc29128"/>
      <w:bookmarkStart w:id="34" w:name="_Toc175644386"/>
      <w:r>
        <w:rPr>
          <w:rFonts w:hint="eastAsia" w:hAnsi="宋体" w:cs="Times New Roman"/>
          <w:b/>
          <w:color w:val="000000" w:themeColor="text1"/>
          <w:sz w:val="24"/>
          <w:szCs w:val="24"/>
          <w:highlight w:val="none"/>
          <w14:textFill>
            <w14:solidFill>
              <w14:schemeClr w14:val="tx1"/>
            </w14:solidFill>
          </w14:textFill>
        </w:rPr>
        <w:t>一、说明</w:t>
      </w:r>
      <w:bookmarkEnd w:id="33"/>
    </w:p>
    <w:p>
      <w:pPr>
        <w:pStyle w:val="5"/>
        <w:numPr>
          <w:ilvl w:val="1"/>
          <w:numId w:val="7"/>
        </w:numPr>
        <w:ind w:left="0" w:firstLine="426"/>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依据《中华人民共和国招标投标法》</w:t>
      </w:r>
      <w:bookmarkStart w:id="35" w:name="_Hlk73784157"/>
      <w:r>
        <w:rPr>
          <w:rFonts w:hint="eastAsia" w:hAnsi="宋体"/>
          <w:color w:val="000000" w:themeColor="text1"/>
          <w:sz w:val="24"/>
          <w:szCs w:val="24"/>
          <w:highlight w:val="none"/>
          <w14:textFill>
            <w14:solidFill>
              <w14:schemeClr w14:val="tx1"/>
            </w14:solidFill>
          </w14:textFill>
        </w:rPr>
        <w:t>、《关于疫情防控采购便利化的通知》（财办库〔2020〕23号）</w:t>
      </w:r>
      <w:bookmarkEnd w:id="35"/>
      <w:r>
        <w:rPr>
          <w:rFonts w:hint="eastAsia" w:hAnsi="宋体"/>
          <w:color w:val="000000" w:themeColor="text1"/>
          <w:sz w:val="24"/>
          <w:szCs w:val="24"/>
          <w:highlight w:val="none"/>
          <w14:textFill>
            <w14:solidFill>
              <w14:schemeClr w14:val="tx1"/>
            </w14:solidFill>
          </w14:textFill>
        </w:rPr>
        <w:t>等有关规定制定本须知。</w:t>
      </w:r>
    </w:p>
    <w:p>
      <w:pPr>
        <w:pStyle w:val="5"/>
        <w:numPr>
          <w:ilvl w:val="1"/>
          <w:numId w:val="7"/>
        </w:numPr>
        <w:tabs>
          <w:tab w:val="clear" w:pos="851"/>
        </w:tabs>
        <w:ind w:left="0" w:firstLine="426"/>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本项目的采购人、采购代理机构、竞投人及各方当事人适用本须知。</w:t>
      </w:r>
    </w:p>
    <w:p>
      <w:pPr>
        <w:pStyle w:val="3"/>
        <w:ind w:left="540"/>
        <w:jc w:val="left"/>
        <w:rPr>
          <w:rFonts w:hAnsi="宋体" w:cs="Times New Roman"/>
          <w:b/>
          <w:color w:val="000000" w:themeColor="text1"/>
          <w:sz w:val="24"/>
          <w:szCs w:val="24"/>
          <w:highlight w:val="none"/>
          <w14:textFill>
            <w14:solidFill>
              <w14:schemeClr w14:val="tx1"/>
            </w14:solidFill>
          </w14:textFill>
        </w:rPr>
      </w:pPr>
      <w:bookmarkStart w:id="36" w:name="_Toc21771"/>
      <w:r>
        <w:rPr>
          <w:rFonts w:hint="eastAsia" w:hAnsi="宋体" w:cs="Times New Roman"/>
          <w:b/>
          <w:color w:val="000000" w:themeColor="text1"/>
          <w:sz w:val="24"/>
          <w:szCs w:val="24"/>
          <w:highlight w:val="none"/>
          <w14:textFill>
            <w14:solidFill>
              <w14:schemeClr w14:val="tx1"/>
            </w14:solidFill>
          </w14:textFill>
        </w:rPr>
        <w:t>二、定义</w:t>
      </w:r>
      <w:bookmarkEnd w:id="36"/>
    </w:p>
    <w:p>
      <w:pPr>
        <w:pStyle w:val="5"/>
        <w:numPr>
          <w:ilvl w:val="1"/>
          <w:numId w:val="7"/>
        </w:numPr>
        <w:tabs>
          <w:tab w:val="clear" w:pos="851"/>
        </w:tabs>
        <w:ind w:left="0" w:firstLine="426"/>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采购人：本项目是指</w:t>
      </w:r>
      <w:bookmarkStart w:id="37" w:name="EBf51331e513df4e8c84bfd5019b7ea053"/>
      <w:r>
        <w:rPr>
          <w:rFonts w:hint="eastAsia" w:hAnsi="宋体"/>
          <w:color w:val="000000" w:themeColor="text1"/>
          <w:sz w:val="24"/>
          <w:szCs w:val="24"/>
          <w:highlight w:val="none"/>
          <w14:textFill>
            <w14:solidFill>
              <w14:schemeClr w14:val="tx1"/>
            </w14:solidFill>
          </w14:textFill>
        </w:rPr>
        <w:t>广州市储备粮管理中心</w:t>
      </w:r>
      <w:bookmarkEnd w:id="37"/>
      <w:r>
        <w:rPr>
          <w:rFonts w:hint="eastAsia" w:hAnsi="宋体"/>
          <w:color w:val="000000" w:themeColor="text1"/>
          <w:sz w:val="24"/>
          <w:szCs w:val="24"/>
          <w:highlight w:val="none"/>
          <w14:textFill>
            <w14:solidFill>
              <w14:schemeClr w14:val="tx1"/>
            </w14:solidFill>
          </w14:textFill>
        </w:rPr>
        <w:t>，是采购活动当事人之一，负责项目的整体规划、技术方案可行性设计论证与实施，作为合同采购方（用户）的主体承担质疑回复、履行合同、验收与评价等义务。</w:t>
      </w:r>
    </w:p>
    <w:p>
      <w:pPr>
        <w:pStyle w:val="5"/>
        <w:numPr>
          <w:ilvl w:val="1"/>
          <w:numId w:val="7"/>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采购代理机构：本项目是指广州农村产权交易所有限公司，负责整个采购活动的组织，依法负责编制和发布采购须知，对采购须知拥有最终的解释权。</w:t>
      </w:r>
    </w:p>
    <w:p>
      <w:pPr>
        <w:pStyle w:val="5"/>
        <w:numPr>
          <w:ilvl w:val="1"/>
          <w:numId w:val="7"/>
        </w:numPr>
        <w:tabs>
          <w:tab w:val="clear" w:pos="851"/>
        </w:tabs>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竞投人:是指完成本项目报名信息登记并提交竞价文件的供应商。</w:t>
      </w:r>
    </w:p>
    <w:p>
      <w:pPr>
        <w:pStyle w:val="5"/>
        <w:numPr>
          <w:ilvl w:val="1"/>
          <w:numId w:val="7"/>
        </w:numPr>
        <w:tabs>
          <w:tab w:val="clear" w:pos="851"/>
        </w:tabs>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采购合同：是指由采购人和竞投人签订的规定双方权利和义务的协议。</w:t>
      </w:r>
    </w:p>
    <w:p>
      <w:pPr>
        <w:pStyle w:val="5"/>
        <w:numPr>
          <w:ilvl w:val="1"/>
          <w:numId w:val="7"/>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电子竞价文件：是指使用广州粮食交易综合服务平台提供的投标文件管理软件制作的竞价文件。</w:t>
      </w:r>
    </w:p>
    <w:p>
      <w:pPr>
        <w:pStyle w:val="5"/>
        <w:numPr>
          <w:ilvl w:val="1"/>
          <w:numId w:val="7"/>
        </w:numPr>
        <w:tabs>
          <w:tab w:val="clear" w:pos="851"/>
        </w:tabs>
        <w:ind w:left="0" w:firstLine="426"/>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电子签名和电子签章：是指广东省内依法设立的电子认证服务机构签发的电子签名认证证书和电子签章，供应商应当到广东省电子商务认证有限公司办理。电子签名及电子签章与手写签名或者盖章具有同等的法律效力。</w:t>
      </w:r>
    </w:p>
    <w:p>
      <w:pPr>
        <w:pStyle w:val="5"/>
        <w:numPr>
          <w:ilvl w:val="1"/>
          <w:numId w:val="7"/>
        </w:numPr>
        <w:tabs>
          <w:tab w:val="clear" w:pos="851"/>
        </w:tabs>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日期、天数、时间：未有特别说明时，均为公历日（天）及北京时间。</w:t>
      </w:r>
    </w:p>
    <w:p>
      <w:pPr>
        <w:pStyle w:val="3"/>
        <w:ind w:left="540"/>
        <w:jc w:val="left"/>
        <w:rPr>
          <w:rFonts w:hAnsi="宋体" w:cs="Times New Roman"/>
          <w:b/>
          <w:color w:val="000000" w:themeColor="text1"/>
          <w:sz w:val="24"/>
          <w:szCs w:val="24"/>
          <w:highlight w:val="none"/>
          <w14:textFill>
            <w14:solidFill>
              <w14:schemeClr w14:val="tx1"/>
            </w14:solidFill>
          </w14:textFill>
        </w:rPr>
      </w:pPr>
      <w:bookmarkStart w:id="38" w:name="_Toc22397"/>
      <w:r>
        <w:rPr>
          <w:rFonts w:hint="eastAsia" w:hAnsi="宋体" w:cs="Times New Roman"/>
          <w:b/>
          <w:color w:val="000000" w:themeColor="text1"/>
          <w:sz w:val="24"/>
          <w:szCs w:val="24"/>
          <w:highlight w:val="none"/>
          <w14:textFill>
            <w14:solidFill>
              <w14:schemeClr w14:val="tx1"/>
            </w14:solidFill>
          </w14:textFill>
        </w:rPr>
        <w:t>三、采购须知</w:t>
      </w:r>
      <w:bookmarkEnd w:id="38"/>
    </w:p>
    <w:p>
      <w:pPr>
        <w:pStyle w:val="5"/>
        <w:numPr>
          <w:ilvl w:val="1"/>
          <w:numId w:val="7"/>
        </w:numPr>
        <w:tabs>
          <w:tab w:val="clear" w:pos="851"/>
        </w:tabs>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采购须知的构成</w:t>
      </w:r>
    </w:p>
    <w:p>
      <w:pPr>
        <w:pStyle w:val="4"/>
        <w:numPr>
          <w:ilvl w:val="0"/>
          <w:numId w:val="8"/>
        </w:numPr>
        <w:spacing w:line="360" w:lineRule="auto"/>
        <w:ind w:left="426" w:firstLine="2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采购须知由下列文件以及在采购过程中发出的修正和补充文件组成：</w:t>
      </w:r>
    </w:p>
    <w:p>
      <w:pPr>
        <w:pStyle w:val="4"/>
        <w:numPr>
          <w:ilvl w:val="3"/>
          <w:numId w:val="7"/>
        </w:numPr>
        <w:spacing w:line="360" w:lineRule="auto"/>
        <w:ind w:left="426" w:firstLine="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采购公告；</w:t>
      </w:r>
    </w:p>
    <w:p>
      <w:pPr>
        <w:pStyle w:val="4"/>
        <w:numPr>
          <w:ilvl w:val="3"/>
          <w:numId w:val="7"/>
        </w:numPr>
        <w:spacing w:line="360" w:lineRule="auto"/>
        <w:ind w:left="426" w:firstLine="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竞投人须知；</w:t>
      </w:r>
    </w:p>
    <w:p>
      <w:pPr>
        <w:pStyle w:val="4"/>
        <w:numPr>
          <w:ilvl w:val="3"/>
          <w:numId w:val="7"/>
        </w:numPr>
        <w:spacing w:line="360" w:lineRule="auto"/>
        <w:ind w:left="426" w:firstLine="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用户需求书；</w:t>
      </w:r>
    </w:p>
    <w:p>
      <w:pPr>
        <w:pStyle w:val="4"/>
        <w:numPr>
          <w:ilvl w:val="3"/>
          <w:numId w:val="7"/>
        </w:numPr>
        <w:spacing w:line="360" w:lineRule="auto"/>
        <w:ind w:left="426" w:firstLine="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合同格式；</w:t>
      </w:r>
    </w:p>
    <w:p>
      <w:pPr>
        <w:pStyle w:val="4"/>
        <w:numPr>
          <w:ilvl w:val="3"/>
          <w:numId w:val="7"/>
        </w:numPr>
        <w:spacing w:line="360" w:lineRule="auto"/>
        <w:ind w:left="426" w:firstLine="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在采购过程中由采购单位发出的修正和补充文件等。</w:t>
      </w:r>
    </w:p>
    <w:p>
      <w:pPr>
        <w:pStyle w:val="4"/>
        <w:numPr>
          <w:ilvl w:val="0"/>
          <w:numId w:val="8"/>
        </w:numPr>
        <w:spacing w:line="360" w:lineRule="auto"/>
        <w:ind w:left="0" w:firstLine="4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应认真阅读、并充分理解采购须知的全部内容（包括所有的补充、修改内容、重要事项、格式、条款和技术规范及要求等）。竞投人没有按照采购须知要求提交全部资料，或者投标没有对采购须知在各方面都做出实质性响应是竞投人的风险，有可能导致其投标被拒绝，或被认定为无效投标或被确定为投标无效。</w:t>
      </w:r>
    </w:p>
    <w:p>
      <w:pPr>
        <w:pStyle w:val="4"/>
        <w:numPr>
          <w:ilvl w:val="0"/>
          <w:numId w:val="8"/>
        </w:numPr>
        <w:spacing w:line="360" w:lineRule="auto"/>
        <w:ind w:left="0" w:firstLine="4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现场考察及采购答疑会</w:t>
      </w:r>
    </w:p>
    <w:p>
      <w:pPr>
        <w:pStyle w:val="4"/>
        <w:spacing w:line="360" w:lineRule="auto"/>
        <w:ind w:left="426" w:firstLine="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（1）本项目不需要现场考察。</w:t>
      </w:r>
    </w:p>
    <w:p>
      <w:pPr>
        <w:pStyle w:val="4"/>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（2）本项目不需要现场采购答疑会。</w:t>
      </w:r>
    </w:p>
    <w:p>
      <w:pPr>
        <w:pStyle w:val="3"/>
        <w:ind w:left="540"/>
        <w:jc w:val="left"/>
        <w:rPr>
          <w:rFonts w:hAnsi="宋体" w:cs="Times New Roman"/>
          <w:b/>
          <w:color w:val="000000" w:themeColor="text1"/>
          <w:sz w:val="24"/>
          <w:szCs w:val="24"/>
          <w:highlight w:val="none"/>
          <w14:textFill>
            <w14:solidFill>
              <w14:schemeClr w14:val="tx1"/>
            </w14:solidFill>
          </w14:textFill>
        </w:rPr>
      </w:pPr>
      <w:bookmarkStart w:id="39" w:name="_Toc23210"/>
      <w:r>
        <w:rPr>
          <w:rFonts w:hint="eastAsia" w:hAnsi="宋体" w:cs="Times New Roman"/>
          <w:b/>
          <w:color w:val="000000" w:themeColor="text1"/>
          <w:sz w:val="24"/>
          <w:szCs w:val="24"/>
          <w:highlight w:val="none"/>
          <w14:textFill>
            <w14:solidFill>
              <w14:schemeClr w14:val="tx1"/>
            </w14:solidFill>
          </w14:textFill>
        </w:rPr>
        <w:t>四、一般要求</w:t>
      </w:r>
      <w:bookmarkEnd w:id="34"/>
      <w:bookmarkEnd w:id="39"/>
    </w:p>
    <w:p>
      <w:pPr>
        <w:pStyle w:val="5"/>
        <w:numPr>
          <w:ilvl w:val="1"/>
          <w:numId w:val="7"/>
        </w:numPr>
        <w:tabs>
          <w:tab w:val="clear" w:pos="851"/>
        </w:tabs>
        <w:spacing w:before="120"/>
        <w:ind w:left="1134" w:hanging="709"/>
        <w:rPr>
          <w:rFonts w:hAnsi="宋体"/>
          <w:b/>
          <w:color w:val="000000" w:themeColor="text1"/>
          <w:sz w:val="24"/>
          <w:szCs w:val="24"/>
          <w:highlight w:val="none"/>
          <w14:textFill>
            <w14:solidFill>
              <w14:schemeClr w14:val="tx1"/>
            </w14:solidFill>
          </w14:textFill>
        </w:rPr>
      </w:pPr>
      <w:bookmarkStart w:id="40" w:name="_Toc50276143"/>
      <w:bookmarkStart w:id="41" w:name="_Toc101843113"/>
      <w:bookmarkStart w:id="42" w:name="_Toc134956120"/>
      <w:bookmarkStart w:id="43" w:name="_Toc98580279"/>
      <w:bookmarkStart w:id="44" w:name="_Toc98578997"/>
      <w:bookmarkStart w:id="45" w:name="_Toc42394502"/>
      <w:bookmarkStart w:id="46" w:name="_Toc98579055"/>
      <w:bookmarkStart w:id="47" w:name="_Toc42313157"/>
      <w:bookmarkStart w:id="48" w:name="_Toc42394659"/>
      <w:bookmarkStart w:id="49" w:name="_Toc101951246"/>
      <w:bookmarkStart w:id="50" w:name="_Toc101775113"/>
      <w:bookmarkStart w:id="51" w:name="_Toc98579596"/>
      <w:bookmarkStart w:id="52" w:name="_Toc101771360"/>
      <w:r>
        <w:rPr>
          <w:rFonts w:hint="eastAsia" w:hAnsi="宋体"/>
          <w:b/>
          <w:color w:val="000000" w:themeColor="text1"/>
          <w:sz w:val="24"/>
          <w:szCs w:val="24"/>
          <w:highlight w:val="none"/>
          <w14:textFill>
            <w14:solidFill>
              <w14:schemeClr w14:val="tx1"/>
            </w14:solidFill>
          </w14:textFill>
        </w:rPr>
        <w:t>关于限价</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最高限价详见“第二章用户需求书”。最高限价包括了服务费、差旅费、误餐费、保险、税费及其他费用等一切支出，采购人不再支付任何费用。凡超出限价的投标，一律视为无效投标。竞投人的报价，是各项费用和含税综合计算的结果,且所报价格为闭口价,中标后结果有效期内价格不再允许变化。</w:t>
      </w:r>
      <w:r>
        <w:rPr>
          <w:rFonts w:hint="eastAsia" w:ascii="宋体" w:hAnsi="宋体"/>
          <w:b/>
          <w:color w:val="000000" w:themeColor="text1"/>
          <w:sz w:val="24"/>
          <w:szCs w:val="24"/>
          <w:highlight w:val="none"/>
          <w14:textFill>
            <w14:solidFill>
              <w14:schemeClr w14:val="tx1"/>
            </w14:solidFill>
          </w14:textFill>
        </w:rPr>
        <w:t>竞投人的报价若低于本项目最高限价的60%，必须在采购须知实质性响应一览表中说明报价理由。</w:t>
      </w:r>
    </w:p>
    <w:p>
      <w:pPr>
        <w:pStyle w:val="5"/>
        <w:numPr>
          <w:ilvl w:val="1"/>
          <w:numId w:val="7"/>
        </w:numPr>
        <w:tabs>
          <w:tab w:val="clear" w:pos="851"/>
        </w:tabs>
        <w:spacing w:before="120"/>
        <w:ind w:left="1134" w:hanging="709"/>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采购代理服务费</w:t>
      </w:r>
    </w:p>
    <w:p>
      <w:pPr>
        <w:numPr>
          <w:ilvl w:val="0"/>
          <w:numId w:val="9"/>
        </w:numPr>
        <w:spacing w:line="360" w:lineRule="auto"/>
        <w:ind w:firstLine="566" w:firstLineChars="23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不论投标的结果如何，竞投人应自行承担所有与编写和提交竞价文件有关的全部费用。</w:t>
      </w:r>
    </w:p>
    <w:p>
      <w:pPr>
        <w:numPr>
          <w:ilvl w:val="0"/>
          <w:numId w:val="9"/>
        </w:numPr>
        <w:spacing w:line="360" w:lineRule="auto"/>
        <w:ind w:firstLine="566" w:firstLineChars="23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采购人委托中标人支付交易服务费，其投标总报价中须包含交易服务费。中标人在下载打印电子《成交通知书》前应向广州农村产权交易所有限公司支付交易服务费。</w:t>
      </w:r>
    </w:p>
    <w:p>
      <w:pPr>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3.根据《广州市农村产权交易所有限公司代理采购业务交易服务费收费管理办法（试行》以及《广州市发展改革委转发省发展改革委关于规范公共资源交易服务收费及有关问题的通知》(穗发改[2017]811号)要求，本项目的交易服务费执行以下价格：</w:t>
      </w:r>
    </w:p>
    <w:p>
      <w:pPr>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（1）交易服务费币种为“人民币”</w:t>
      </w:r>
    </w:p>
    <w:p>
      <w:pPr>
        <w:numPr>
          <w:ilvl w:val="0"/>
          <w:numId w:val="0"/>
        </w:numPr>
        <w:ind w:firstLine="480" w:firstLineChars="200"/>
        <w:rPr>
          <w:rFonts w:hint="eastAsia" w:ascii="宋体" w:hAnsi="宋体" w:eastAsia="宋体" w:cs="Arial"/>
          <w:sz w:val="24"/>
          <w:szCs w:val="24"/>
          <w:highlight w:val="none"/>
          <w:lang w:val="en-US" w:eastAsia="zh-CN" w:bidi="ar-SA"/>
        </w:rPr>
      </w:pPr>
      <w:r>
        <w:rPr>
          <w:rFonts w:hint="eastAsia" w:ascii="宋体" w:hAnsi="宋体" w:cs="Arial"/>
          <w:sz w:val="24"/>
          <w:szCs w:val="24"/>
          <w:highlight w:val="none"/>
          <w:lang w:val="en-US" w:eastAsia="zh-CN" w:bidi="ar-SA"/>
        </w:rPr>
        <w:t>（2）</w:t>
      </w:r>
      <w:r>
        <w:rPr>
          <w:rFonts w:hint="eastAsia" w:ascii="宋体" w:hAnsi="宋体" w:eastAsia="宋体" w:cs="Arial"/>
          <w:sz w:val="24"/>
          <w:szCs w:val="24"/>
          <w:highlight w:val="none"/>
          <w:lang w:val="en-US" w:eastAsia="zh-CN" w:bidi="ar-SA"/>
        </w:rPr>
        <w:t>采购预算金额不超过100万元的项目收费标准:</w:t>
      </w:r>
    </w:p>
    <w:tbl>
      <w:tblPr>
        <w:tblStyle w:val="38"/>
        <w:tblW w:w="6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5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b/>
                <w:sz w:val="24"/>
                <w:highlight w:val="none"/>
              </w:rPr>
            </w:pPr>
            <w:r>
              <w:rPr>
                <w:rFonts w:hint="eastAsia" w:ascii="宋体" w:hAnsi="宋体" w:cs="宋体"/>
                <w:b/>
                <w:sz w:val="24"/>
                <w:highlight w:val="none"/>
              </w:rPr>
              <w:t>采购额</w:t>
            </w:r>
          </w:p>
        </w:tc>
        <w:tc>
          <w:tcPr>
            <w:tcW w:w="194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b/>
                <w:sz w:val="24"/>
                <w:highlight w:val="none"/>
              </w:rPr>
            </w:pPr>
            <w:r>
              <w:rPr>
                <w:rFonts w:hint="eastAsia" w:ascii="宋体" w:hAnsi="宋体" w:cs="宋体"/>
                <w:b/>
                <w:sz w:val="24"/>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60" w:lineRule="auto"/>
              <w:jc w:val="center"/>
              <w:rPr>
                <w:rFonts w:ascii="宋体" w:hAnsi="宋体" w:cs="宋体"/>
                <w:sz w:val="24"/>
                <w:highlight w:val="none"/>
              </w:rPr>
            </w:pPr>
            <w:r>
              <w:rPr>
                <w:rFonts w:hint="eastAsia" w:ascii="宋体" w:hAnsi="宋体"/>
                <w:sz w:val="24"/>
                <w:highlight w:val="none"/>
              </w:rPr>
              <w:t>采购额</w:t>
            </w:r>
            <w:r>
              <w:rPr>
                <w:rFonts w:hint="eastAsia" w:ascii="宋体" w:hAnsi="宋体" w:cs="宋体"/>
                <w:sz w:val="24"/>
                <w:highlight w:val="none"/>
              </w:rPr>
              <w:t>≤100万元</w:t>
            </w:r>
          </w:p>
        </w:tc>
        <w:tc>
          <w:tcPr>
            <w:tcW w:w="1945" w:type="dxa"/>
            <w:tcBorders>
              <w:top w:val="single" w:color="auto" w:sz="4" w:space="0"/>
              <w:left w:val="single" w:color="auto" w:sz="4" w:space="0"/>
              <w:bottom w:val="single" w:color="auto" w:sz="4" w:space="0"/>
              <w:right w:val="single" w:color="auto" w:sz="4" w:space="0"/>
            </w:tcBorders>
            <w:vAlign w:val="center"/>
          </w:tcPr>
          <w:p>
            <w:pPr>
              <w:tabs>
                <w:tab w:val="left" w:pos="7560"/>
                <w:tab w:val="left" w:pos="7740"/>
              </w:tabs>
              <w:spacing w:line="360" w:lineRule="auto"/>
              <w:jc w:val="center"/>
              <w:rPr>
                <w:rFonts w:ascii="宋体" w:hAnsi="宋体"/>
                <w:color w:val="000000"/>
                <w:sz w:val="24"/>
                <w:highlight w:val="none"/>
              </w:rPr>
            </w:pPr>
            <w:r>
              <w:rPr>
                <w:rFonts w:hint="eastAsia" w:ascii="仿宋_GB2312" w:hAnsi="仿宋_GB2312" w:eastAsia="仿宋_GB2312" w:cs="仿宋_GB2312"/>
                <w:color w:val="auto"/>
                <w:sz w:val="28"/>
                <w:szCs w:val="28"/>
                <w:highlight w:val="none"/>
                <w:lang w:val="en-US" w:eastAsia="zh-CN"/>
              </w:rPr>
              <w:t>1.5万元/宗</w:t>
            </w:r>
          </w:p>
        </w:tc>
      </w:tr>
    </w:tbl>
    <w:p>
      <w:pPr>
        <w:spacing w:line="360" w:lineRule="auto"/>
        <w:ind w:firstLine="480" w:firstLineChars="200"/>
        <w:rPr>
          <w:highlight w:val="none"/>
        </w:rPr>
      </w:pPr>
      <w:r>
        <w:rPr>
          <w:rFonts w:hint="eastAsia" w:ascii="宋体" w:hAnsi="宋体" w:cs="Arial"/>
          <w:sz w:val="24"/>
          <w:szCs w:val="24"/>
          <w:highlight w:val="none"/>
        </w:rPr>
        <w:t>注：本项目广州农村产权交易所有限公司按以上收费标准向中标人收取交易服务费。</w:t>
      </w:r>
    </w:p>
    <w:p>
      <w:pPr>
        <w:pStyle w:val="5"/>
        <w:numPr>
          <w:ilvl w:val="1"/>
          <w:numId w:val="7"/>
        </w:numPr>
        <w:tabs>
          <w:tab w:val="clear" w:pos="851"/>
        </w:tabs>
        <w:spacing w:before="120"/>
        <w:ind w:left="1134" w:hanging="709"/>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采购须知的澄清和修改</w:t>
      </w:r>
      <w:bookmarkEnd w:id="40"/>
      <w:bookmarkEnd w:id="41"/>
      <w:bookmarkEnd w:id="42"/>
      <w:bookmarkEnd w:id="43"/>
      <w:bookmarkEnd w:id="44"/>
      <w:bookmarkEnd w:id="45"/>
      <w:bookmarkEnd w:id="46"/>
      <w:bookmarkEnd w:id="47"/>
      <w:bookmarkEnd w:id="48"/>
      <w:bookmarkEnd w:id="49"/>
      <w:bookmarkEnd w:id="50"/>
      <w:bookmarkEnd w:id="51"/>
      <w:bookmarkEnd w:id="52"/>
    </w:p>
    <w:p>
      <w:pPr>
        <w:pStyle w:val="5"/>
        <w:tabs>
          <w:tab w:val="clear" w:pos="851"/>
        </w:tabs>
        <w:ind w:firstLine="566" w:firstLineChars="236"/>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fldChar w:fldCharType="begin"/>
      </w:r>
      <w:r>
        <w:rPr>
          <w:rFonts w:hint="eastAsia" w:hAnsi="宋体"/>
          <w:color w:val="000000" w:themeColor="text1"/>
          <w:sz w:val="24"/>
          <w:szCs w:val="24"/>
          <w:highlight w:val="none"/>
          <w14:textFill>
            <w14:solidFill>
              <w14:schemeClr w14:val="tx1"/>
            </w14:solidFill>
          </w14:textFill>
        </w:rPr>
        <w:instrText xml:space="preserve"> = 1. \* Arabic </w:instrText>
      </w:r>
      <w:r>
        <w:rPr>
          <w:rFonts w:hint="eastAsia" w:hAnsi="宋体"/>
          <w:color w:val="000000" w:themeColor="text1"/>
          <w:sz w:val="24"/>
          <w:szCs w:val="24"/>
          <w:highlight w:val="none"/>
          <w14:textFill>
            <w14:solidFill>
              <w14:schemeClr w14:val="tx1"/>
            </w14:solidFill>
          </w14:textFill>
        </w:rPr>
        <w:fldChar w:fldCharType="separate"/>
      </w:r>
      <w:r>
        <w:rPr>
          <w:rFonts w:hint="eastAsia" w:hAnsi="宋体"/>
          <w:color w:val="000000" w:themeColor="text1"/>
          <w:sz w:val="24"/>
          <w:szCs w:val="24"/>
          <w:highlight w:val="none"/>
          <w14:textFill>
            <w14:solidFill>
              <w14:schemeClr w14:val="tx1"/>
            </w14:solidFill>
          </w14:textFill>
        </w:rPr>
        <w:t>1</w:t>
      </w:r>
      <w:r>
        <w:rPr>
          <w:rFonts w:hint="eastAsia" w:hAnsi="宋体"/>
          <w:color w:val="000000" w:themeColor="text1"/>
          <w:sz w:val="24"/>
          <w:szCs w:val="24"/>
          <w:highlight w:val="none"/>
          <w14:textFill>
            <w14:solidFill>
              <w14:schemeClr w14:val="tx1"/>
            </w14:solidFill>
          </w14:textFill>
        </w:rPr>
        <w:fldChar w:fldCharType="end"/>
      </w:r>
      <w:r>
        <w:rPr>
          <w:rFonts w:hint="eastAsia" w:hAnsi="宋体"/>
          <w:color w:val="000000" w:themeColor="text1"/>
          <w:sz w:val="24"/>
          <w:szCs w:val="24"/>
          <w:highlight w:val="none"/>
          <w14:textFill>
            <w14:solidFill>
              <w14:schemeClr w14:val="tx1"/>
            </w14:solidFill>
          </w14:textFill>
        </w:rPr>
        <w:t>．采购人对采购须知进行必要的澄清或者修改的，于开标前在</w:t>
      </w:r>
      <w:r>
        <w:rPr>
          <w:rFonts w:hint="eastAsia" w:ascii="Times New Roman"/>
          <w:sz w:val="24"/>
          <w:szCs w:val="24"/>
          <w:highlight w:val="none"/>
        </w:rPr>
        <w:t>广州粮食交易综合服务平台（http://liangshi.gzaee.cn）</w:t>
      </w:r>
      <w:r>
        <w:rPr>
          <w:rFonts w:hint="eastAsia" w:hAnsi="宋体"/>
          <w:color w:val="000000" w:themeColor="text1"/>
          <w:sz w:val="24"/>
          <w:szCs w:val="24"/>
          <w:highlight w:val="none"/>
          <w14:textFill>
            <w14:solidFill>
              <w14:schemeClr w14:val="tx1"/>
            </w14:solidFill>
          </w14:textFill>
        </w:rPr>
        <w:t>上发布公告，并通知所有报名及购买采购须知的竞投人，报名及购买采购须知的竞投人在收到澄清或修改通知后应按要求以书面形式予以确认</w:t>
      </w:r>
      <w:r>
        <w:rPr>
          <w:rFonts w:hint="eastAsia" w:hAnsi="宋体"/>
          <w:color w:val="000000" w:themeColor="text1"/>
          <w:sz w:val="24"/>
          <w:highlight w:val="none"/>
          <w14:textFill>
            <w14:solidFill>
              <w14:schemeClr w14:val="tx1"/>
            </w14:solidFill>
          </w14:textFill>
        </w:rPr>
        <w:t>（加盖单位公章，传真或电子有效</w:t>
      </w:r>
      <w:r>
        <w:rPr>
          <w:rStyle w:val="61"/>
          <w:rFonts w:hint="eastAsia" w:hAnsi="宋体"/>
          <w:color w:val="000000" w:themeColor="text1"/>
          <w:sz w:val="24"/>
          <w:szCs w:val="24"/>
          <w:highlight w:val="none"/>
          <w14:textFill>
            <w14:solidFill>
              <w14:schemeClr w14:val="tx1"/>
            </w14:solidFill>
          </w14:textFill>
        </w:rPr>
        <w:t>；或者提交法定代表人/负责人或委托代理人签署的回执原件</w:t>
      </w:r>
      <w:r>
        <w:rPr>
          <w:rFonts w:hint="eastAsia" w:hAnsi="宋体"/>
          <w:color w:val="000000" w:themeColor="text1"/>
          <w:sz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该澄清或修改的内容为采购须知的组成部分,并对竞投人具有约束力；在投标截止时间15日前的任何时候，无论出于何种原因，采购人可主动地或在解答竞投人提出的需澄清问题时，向竞投人发送对采购须知的修改文件；采购人在征得报名及购买采购须知的竞投人同意并书面确认</w:t>
      </w:r>
      <w:r>
        <w:rPr>
          <w:rFonts w:hint="eastAsia" w:hAnsi="宋体"/>
          <w:color w:val="000000" w:themeColor="text1"/>
          <w:sz w:val="24"/>
          <w:highlight w:val="none"/>
          <w14:textFill>
            <w14:solidFill>
              <w14:schemeClr w14:val="tx1"/>
            </w14:solidFill>
          </w14:textFill>
        </w:rPr>
        <w:t>（加盖单位公章，传真有效</w:t>
      </w:r>
      <w:r>
        <w:rPr>
          <w:rStyle w:val="61"/>
          <w:rFonts w:hint="eastAsia" w:hAnsi="宋体"/>
          <w:color w:val="000000" w:themeColor="text1"/>
          <w:sz w:val="24"/>
          <w:szCs w:val="24"/>
          <w:highlight w:val="none"/>
          <w14:textFill>
            <w14:solidFill>
              <w14:schemeClr w14:val="tx1"/>
            </w14:solidFill>
          </w14:textFill>
        </w:rPr>
        <w:t>；或者提交法定代表人/负责人或委托代理人签署的回执原件</w:t>
      </w:r>
      <w:r>
        <w:rPr>
          <w:rFonts w:hint="eastAsia" w:hAnsi="宋体"/>
          <w:color w:val="000000" w:themeColor="text1"/>
          <w:sz w:val="24"/>
          <w:highlight w:val="none"/>
          <w14:textFill>
            <w14:solidFill>
              <w14:schemeClr w14:val="tx1"/>
            </w14:solidFill>
          </w14:textFill>
        </w:rPr>
        <w:t>）</w:t>
      </w:r>
      <w:r>
        <w:rPr>
          <w:rFonts w:hint="eastAsia" w:hAnsi="宋体"/>
          <w:color w:val="000000" w:themeColor="text1"/>
          <w:sz w:val="24"/>
          <w:szCs w:val="24"/>
          <w:highlight w:val="none"/>
          <w14:textFill>
            <w14:solidFill>
              <w14:schemeClr w14:val="tx1"/>
            </w14:solidFill>
          </w14:textFill>
        </w:rPr>
        <w:t>后，可不改变投标截止时间。</w:t>
      </w:r>
      <w:r>
        <w:rPr>
          <w:rFonts w:hint="eastAsia" w:hAnsi="宋体"/>
          <w:color w:val="000000" w:themeColor="text1"/>
          <w:sz w:val="24"/>
          <w:szCs w:val="24"/>
          <w:highlight w:val="none"/>
          <w:lang w:val="zh-CN"/>
          <w14:textFill>
            <w14:solidFill>
              <w14:schemeClr w14:val="tx1"/>
            </w14:solidFill>
          </w14:textFill>
        </w:rPr>
        <w:t>已报名及购买采购须知的竞投人如有异议</w:t>
      </w:r>
      <w:r>
        <w:rPr>
          <w:rFonts w:hint="eastAsia" w:hAnsi="宋体"/>
          <w:color w:val="000000" w:themeColor="text1"/>
          <w:sz w:val="24"/>
          <w:szCs w:val="24"/>
          <w:highlight w:val="none"/>
          <w14:textFill>
            <w14:solidFill>
              <w14:schemeClr w14:val="tx1"/>
            </w14:solidFill>
          </w14:textFill>
        </w:rPr>
        <w:t>，</w:t>
      </w:r>
      <w:r>
        <w:rPr>
          <w:rFonts w:hint="eastAsia" w:hAnsi="宋体"/>
          <w:color w:val="000000" w:themeColor="text1"/>
          <w:sz w:val="24"/>
          <w:szCs w:val="24"/>
          <w:highlight w:val="none"/>
          <w:lang w:val="zh-CN"/>
          <w14:textFill>
            <w14:solidFill>
              <w14:schemeClr w14:val="tx1"/>
            </w14:solidFill>
          </w14:textFill>
        </w:rPr>
        <w:t>必须于投标截止时间前书面向采购人提出。</w:t>
      </w:r>
      <w:r>
        <w:rPr>
          <w:rFonts w:hint="eastAsia" w:hAnsi="宋体"/>
          <w:color w:val="000000" w:themeColor="text1"/>
          <w:sz w:val="24"/>
          <w:szCs w:val="24"/>
          <w:highlight w:val="none"/>
          <w14:textFill>
            <w14:solidFill>
              <w14:schemeClr w14:val="tx1"/>
            </w14:solidFill>
          </w14:textFill>
        </w:rPr>
        <w:t>采购人将拒绝没有对澄清修改文件予以书面确认的竞投人的投标。</w:t>
      </w:r>
    </w:p>
    <w:p>
      <w:pPr>
        <w:pStyle w:val="5"/>
        <w:ind w:firstLine="566" w:firstLineChars="236"/>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fldChar w:fldCharType="begin"/>
      </w:r>
      <w:r>
        <w:rPr>
          <w:rFonts w:hint="eastAsia" w:hAnsi="宋体"/>
          <w:color w:val="000000" w:themeColor="text1"/>
          <w:sz w:val="24"/>
          <w:szCs w:val="24"/>
          <w:highlight w:val="none"/>
          <w14:textFill>
            <w14:solidFill>
              <w14:schemeClr w14:val="tx1"/>
            </w14:solidFill>
          </w14:textFill>
        </w:rPr>
        <w:instrText xml:space="preserve"> = 2. \* Arabic </w:instrText>
      </w:r>
      <w:r>
        <w:rPr>
          <w:rFonts w:hint="eastAsia" w:hAnsi="宋体"/>
          <w:color w:val="000000" w:themeColor="text1"/>
          <w:sz w:val="24"/>
          <w:szCs w:val="24"/>
          <w:highlight w:val="none"/>
          <w14:textFill>
            <w14:solidFill>
              <w14:schemeClr w14:val="tx1"/>
            </w14:solidFill>
          </w14:textFill>
        </w:rPr>
        <w:fldChar w:fldCharType="separate"/>
      </w:r>
      <w:r>
        <w:rPr>
          <w:rFonts w:hint="eastAsia" w:hAnsi="宋体"/>
          <w:color w:val="000000" w:themeColor="text1"/>
          <w:sz w:val="24"/>
          <w:szCs w:val="24"/>
          <w:highlight w:val="none"/>
          <w14:textFill>
            <w14:solidFill>
              <w14:schemeClr w14:val="tx1"/>
            </w14:solidFill>
          </w14:textFill>
        </w:rPr>
        <w:t>2</w:t>
      </w:r>
      <w:r>
        <w:rPr>
          <w:rFonts w:hint="eastAsia" w:hAnsi="宋体"/>
          <w:color w:val="000000" w:themeColor="text1"/>
          <w:sz w:val="24"/>
          <w:szCs w:val="24"/>
          <w:highlight w:val="none"/>
          <w14:textFill>
            <w14:solidFill>
              <w14:schemeClr w14:val="tx1"/>
            </w14:solidFill>
          </w14:textFill>
        </w:rPr>
        <w:fldChar w:fldCharType="end"/>
      </w:r>
      <w:r>
        <w:rPr>
          <w:rFonts w:hint="eastAsia" w:hAnsi="宋体"/>
          <w:color w:val="000000" w:themeColor="text1"/>
          <w:sz w:val="24"/>
          <w:szCs w:val="24"/>
          <w:highlight w:val="none"/>
          <w14:textFill>
            <w14:solidFill>
              <w14:schemeClr w14:val="tx1"/>
            </w14:solidFill>
          </w14:textFill>
        </w:rPr>
        <w:t>.规定的投标截止时间前，将变更时间在</w:t>
      </w:r>
      <w:r>
        <w:rPr>
          <w:rFonts w:hint="eastAsia" w:ascii="Times New Roman"/>
          <w:sz w:val="24"/>
          <w:szCs w:val="24"/>
          <w:highlight w:val="none"/>
        </w:rPr>
        <w:t>广州粮食交易综合服务平台（http://liangshi.gzaee.cn）</w:t>
      </w:r>
      <w:r>
        <w:rPr>
          <w:rFonts w:hint="eastAsia" w:hAnsi="宋体"/>
          <w:color w:val="000000" w:themeColor="text1"/>
          <w:sz w:val="24"/>
          <w:szCs w:val="24"/>
          <w:highlight w:val="none"/>
          <w14:textFill>
            <w14:solidFill>
              <w14:schemeClr w14:val="tx1"/>
            </w14:solidFill>
          </w14:textFill>
        </w:rPr>
        <w:t>上发布公告，并通知所有报名及购买采购须知的竞投人。</w:t>
      </w:r>
    </w:p>
    <w:p>
      <w:pPr>
        <w:pStyle w:val="5"/>
        <w:tabs>
          <w:tab w:val="clear" w:pos="851"/>
        </w:tabs>
        <w:ind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fldChar w:fldCharType="begin"/>
      </w:r>
      <w:r>
        <w:rPr>
          <w:rFonts w:hint="eastAsia" w:hAnsi="宋体"/>
          <w:color w:val="000000" w:themeColor="text1"/>
          <w:sz w:val="24"/>
          <w:szCs w:val="24"/>
          <w:highlight w:val="none"/>
          <w14:textFill>
            <w14:solidFill>
              <w14:schemeClr w14:val="tx1"/>
            </w14:solidFill>
          </w14:textFill>
        </w:rPr>
        <w:instrText xml:space="preserve"> = 3. \* Arabic </w:instrText>
      </w:r>
      <w:r>
        <w:rPr>
          <w:rFonts w:hint="eastAsia" w:hAnsi="宋体"/>
          <w:color w:val="000000" w:themeColor="text1"/>
          <w:sz w:val="24"/>
          <w:szCs w:val="24"/>
          <w:highlight w:val="none"/>
          <w14:textFill>
            <w14:solidFill>
              <w14:schemeClr w14:val="tx1"/>
            </w14:solidFill>
          </w14:textFill>
        </w:rPr>
        <w:fldChar w:fldCharType="separate"/>
      </w:r>
      <w:r>
        <w:rPr>
          <w:rFonts w:hint="eastAsia" w:hAnsi="宋体"/>
          <w:color w:val="000000" w:themeColor="text1"/>
          <w:sz w:val="24"/>
          <w:szCs w:val="24"/>
          <w:highlight w:val="none"/>
          <w14:textFill>
            <w14:solidFill>
              <w14:schemeClr w14:val="tx1"/>
            </w14:solidFill>
          </w14:textFill>
        </w:rPr>
        <w:t>3</w:t>
      </w:r>
      <w:r>
        <w:rPr>
          <w:rFonts w:hint="eastAsia" w:hAnsi="宋体"/>
          <w:color w:val="000000" w:themeColor="text1"/>
          <w:sz w:val="24"/>
          <w:szCs w:val="24"/>
          <w:highlight w:val="none"/>
          <w14:textFill>
            <w14:solidFill>
              <w14:schemeClr w14:val="tx1"/>
            </w14:solidFill>
          </w14:textFill>
        </w:rPr>
        <w:fldChar w:fldCharType="end"/>
      </w:r>
      <w:r>
        <w:rPr>
          <w:rFonts w:hint="eastAsia" w:hAnsi="宋体"/>
          <w:color w:val="000000" w:themeColor="text1"/>
          <w:sz w:val="24"/>
          <w:szCs w:val="24"/>
          <w:highlight w:val="none"/>
          <w14:textFill>
            <w14:solidFill>
              <w14:schemeClr w14:val="tx1"/>
            </w14:solidFill>
          </w14:textFill>
        </w:rPr>
        <w:t>. 竞投人在规定的时间内未对采购须知提出疑问、质疑或要求澄清的，将视其为无异议。对采购须知中描述有歧义或前后不一致的地方，采购人有权进行评判或解释，但对同一条款的评判应适用于每个竞投人。</w:t>
      </w:r>
    </w:p>
    <w:p>
      <w:pPr>
        <w:pStyle w:val="5"/>
        <w:numPr>
          <w:ilvl w:val="1"/>
          <w:numId w:val="7"/>
        </w:numPr>
        <w:tabs>
          <w:tab w:val="clear" w:pos="851"/>
        </w:tabs>
        <w:spacing w:before="120"/>
        <w:ind w:left="1134" w:hanging="709"/>
        <w:rPr>
          <w:rFonts w:hAnsi="宋体"/>
          <w:b/>
          <w:color w:val="000000" w:themeColor="text1"/>
          <w:sz w:val="24"/>
          <w:szCs w:val="24"/>
          <w:highlight w:val="none"/>
          <w14:textFill>
            <w14:solidFill>
              <w14:schemeClr w14:val="tx1"/>
            </w14:solidFill>
          </w14:textFill>
        </w:rPr>
      </w:pPr>
      <w:bookmarkStart w:id="53" w:name="_Toc134956121"/>
      <w:r>
        <w:rPr>
          <w:rFonts w:hint="eastAsia" w:hAnsi="宋体"/>
          <w:b/>
          <w:color w:val="000000" w:themeColor="text1"/>
          <w:sz w:val="24"/>
          <w:szCs w:val="24"/>
          <w:highlight w:val="none"/>
          <w14:textFill>
            <w14:solidFill>
              <w14:schemeClr w14:val="tx1"/>
            </w14:solidFill>
          </w14:textFill>
        </w:rPr>
        <w:t>知识产权</w:t>
      </w:r>
      <w:bookmarkEnd w:id="53"/>
    </w:p>
    <w:p>
      <w:pPr>
        <w:pStyle w:val="5"/>
        <w:numPr>
          <w:ilvl w:val="2"/>
          <w:numId w:val="10"/>
        </w:numPr>
        <w:tabs>
          <w:tab w:val="clear" w:pos="851"/>
        </w:tabs>
        <w:ind w:left="0" w:firstLine="540"/>
        <w:rPr>
          <w:rFonts w:hAnsi="宋体"/>
          <w:color w:val="000000" w:themeColor="text1"/>
          <w:sz w:val="24"/>
          <w:szCs w:val="24"/>
          <w:highlight w:val="none"/>
          <w:lang w:val="en-GB"/>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竞投人必须保证，采购人在中华人民共和国境内使用所投货物、资料、技术、服务或其任何一部分时，享有不受限制的无偿使用权，如有第三方向采购人提出侵犯其专利权、商标权或其它知识产权的主张，该责任应由竞投人承担。</w:t>
      </w:r>
    </w:p>
    <w:p>
      <w:pPr>
        <w:pStyle w:val="5"/>
        <w:numPr>
          <w:ilvl w:val="2"/>
          <w:numId w:val="10"/>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投标报价应包含所有应向所有权人支付的专利权、商标权或其它知识产权的一切相关费用。</w:t>
      </w:r>
    </w:p>
    <w:p>
      <w:pPr>
        <w:pStyle w:val="5"/>
        <w:numPr>
          <w:ilvl w:val="2"/>
          <w:numId w:val="10"/>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系统软件、通用软件必须是具有在中国境内的合法使用权或版权的正版软件，涉及到第三方提出侵权或知识产权的起诉及支付版税等由竞投人承担所有责任及费用。</w:t>
      </w:r>
    </w:p>
    <w:p>
      <w:pPr>
        <w:pStyle w:val="5"/>
        <w:numPr>
          <w:ilvl w:val="1"/>
          <w:numId w:val="7"/>
        </w:numPr>
        <w:tabs>
          <w:tab w:val="clear" w:pos="851"/>
        </w:tabs>
        <w:spacing w:before="120"/>
        <w:ind w:left="1134" w:hanging="709"/>
        <w:rPr>
          <w:rFonts w:hAnsi="宋体"/>
          <w:b/>
          <w:bCs/>
          <w:color w:val="000000" w:themeColor="text1"/>
          <w:sz w:val="24"/>
          <w:szCs w:val="24"/>
          <w:highlight w:val="none"/>
          <w14:textFill>
            <w14:solidFill>
              <w14:schemeClr w14:val="tx1"/>
            </w14:solidFill>
          </w14:textFill>
        </w:rPr>
      </w:pPr>
      <w:bookmarkStart w:id="54" w:name="_Toc98578996"/>
      <w:bookmarkStart w:id="55" w:name="_Toc101843114"/>
      <w:bookmarkStart w:id="56" w:name="_Toc101951247"/>
      <w:bookmarkStart w:id="57" w:name="_Toc98579595"/>
      <w:bookmarkStart w:id="58" w:name="_Toc134956122"/>
      <w:bookmarkStart w:id="59" w:name="_Toc42313156"/>
      <w:bookmarkStart w:id="60" w:name="_Toc50276142"/>
      <w:bookmarkStart w:id="61" w:name="_Toc41723918"/>
      <w:bookmarkStart w:id="62" w:name="_Toc101775114"/>
      <w:bookmarkStart w:id="63" w:name="_Toc101771361"/>
      <w:bookmarkStart w:id="64" w:name="_Toc42394501"/>
      <w:bookmarkStart w:id="65" w:name="_Toc98579054"/>
      <w:bookmarkStart w:id="66" w:name="_Toc42394658"/>
      <w:bookmarkStart w:id="67" w:name="_Toc98580278"/>
      <w:bookmarkStart w:id="68" w:name="_Toc41884688"/>
      <w:r>
        <w:rPr>
          <w:rFonts w:hint="eastAsia" w:hAnsi="宋体"/>
          <w:b/>
          <w:color w:val="000000" w:themeColor="text1"/>
          <w:sz w:val="24"/>
          <w:szCs w:val="24"/>
          <w:highlight w:val="none"/>
          <w14:textFill>
            <w14:solidFill>
              <w14:schemeClr w14:val="tx1"/>
            </w14:solidFill>
          </w14:textFill>
        </w:rPr>
        <w:t>纪律与保密事项</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5"/>
        <w:numPr>
          <w:ilvl w:val="2"/>
          <w:numId w:val="11"/>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竞投人不得相互串通投标报价，不得妨碍其他竞投人的公平竞争，不得损害采购人或其他竞投人的合法权益，竞投人不得以向采购人、评标委员会成员行贿或者采取其他不正当手段谋取中标。</w:t>
      </w:r>
    </w:p>
    <w:p>
      <w:pPr>
        <w:pStyle w:val="5"/>
        <w:numPr>
          <w:ilvl w:val="2"/>
          <w:numId w:val="11"/>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在确定成交单位之前，竞投人不得与采购人就投标价格、投标方案等实质性内容进行谈判。</w:t>
      </w:r>
    </w:p>
    <w:p>
      <w:pPr>
        <w:pStyle w:val="5"/>
        <w:numPr>
          <w:ilvl w:val="2"/>
          <w:numId w:val="11"/>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在确定成交单位之前，竞投人试图在采购须知审查、澄清、比较和评价时对采购人施加任何影响都可能导致其投标无效。</w:t>
      </w:r>
    </w:p>
    <w:p>
      <w:pPr>
        <w:pStyle w:val="5"/>
        <w:numPr>
          <w:ilvl w:val="2"/>
          <w:numId w:val="11"/>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获得本采购须知者，不得将采购须知用作本次采购以外的任何用途。开标后，竞投人应归还采购须知中的保密文件和资料。</w:t>
      </w:r>
    </w:p>
    <w:p>
      <w:pPr>
        <w:pStyle w:val="5"/>
        <w:numPr>
          <w:ilvl w:val="2"/>
          <w:numId w:val="11"/>
        </w:numPr>
        <w:tabs>
          <w:tab w:val="clear" w:pos="851"/>
        </w:tabs>
        <w:ind w:left="0" w:firstLine="54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由采购人向竞投人提供的图纸、详细资料、样品、模型、模件和所有其它资料，均为保密资料，仅被用于它所规定的用途。除非得到采购人的同意，不能向任何第三方透露。交易结束后，应采购人要求，竞投人应归还所有从采购人处获得的保密资料。</w:t>
      </w:r>
    </w:p>
    <w:p>
      <w:pPr>
        <w:pStyle w:val="5"/>
        <w:numPr>
          <w:ilvl w:val="1"/>
          <w:numId w:val="7"/>
        </w:numPr>
        <w:tabs>
          <w:tab w:val="clear" w:pos="851"/>
        </w:tabs>
        <w:spacing w:before="120"/>
        <w:ind w:left="1134" w:hanging="709"/>
        <w:rPr>
          <w:rFonts w:hAnsi="宋体"/>
          <w:b/>
          <w:bCs/>
          <w:color w:val="000000" w:themeColor="text1"/>
          <w:sz w:val="24"/>
          <w:szCs w:val="24"/>
          <w:highlight w:val="none"/>
          <w14:textFill>
            <w14:solidFill>
              <w14:schemeClr w14:val="tx1"/>
            </w14:solidFill>
          </w14:textFill>
        </w:rPr>
      </w:pPr>
      <w:bookmarkStart w:id="69" w:name="_Toc101951248"/>
      <w:bookmarkStart w:id="70" w:name="_Toc101843115"/>
      <w:bookmarkStart w:id="71" w:name="_Toc101775115"/>
      <w:bookmarkStart w:id="72" w:name="_Toc101771362"/>
      <w:r>
        <w:rPr>
          <w:rFonts w:hint="eastAsia" w:hAnsi="宋体"/>
          <w:b/>
          <w:color w:val="000000" w:themeColor="text1"/>
          <w:sz w:val="24"/>
          <w:szCs w:val="24"/>
          <w:highlight w:val="none"/>
          <w14:textFill>
            <w14:solidFill>
              <w14:schemeClr w14:val="tx1"/>
            </w14:solidFill>
          </w14:textFill>
        </w:rPr>
        <w:t>关于关联企业</w:t>
      </w:r>
    </w:p>
    <w:p>
      <w:pPr>
        <w:pStyle w:val="4"/>
        <w:tabs>
          <w:tab w:val="left" w:pos="540"/>
        </w:tabs>
        <w:spacing w:line="360" w:lineRule="auto"/>
        <w:ind w:firstLine="480" w:firstLineChars="200"/>
        <w:rPr>
          <w:rFonts w:ascii="宋体" w:hAnsi="宋体"/>
          <w:color w:val="000000" w:themeColor="text1"/>
          <w:sz w:val="24"/>
          <w:highlight w:val="none"/>
          <w14:textFill>
            <w14:solidFill>
              <w14:schemeClr w14:val="tx1"/>
            </w14:solidFill>
          </w14:textFill>
        </w:rPr>
      </w:pPr>
      <w:bookmarkStart w:id="73" w:name="_Toc134955409"/>
      <w:bookmarkStart w:id="74" w:name="_Toc127930780"/>
      <w:r>
        <w:rPr>
          <w:rFonts w:hint="eastAsia" w:ascii="宋体" w:hAnsi="宋体"/>
          <w:color w:val="000000" w:themeColor="text1"/>
          <w:sz w:val="24"/>
          <w:highlight w:val="none"/>
          <w14:textFill>
            <w14:solidFill>
              <w14:schemeClr w14:val="tx1"/>
            </w14:solidFill>
          </w14:textFill>
        </w:rPr>
        <w:t>1.关于关联企业的定义：法定代表人或单位负责人为同一个人或者存在控股、管理关系的不同单位,不得同时参加同一项目或同一子项目的投标。如同时参加，则报价时将同时被拒绝。</w:t>
      </w:r>
    </w:p>
    <w:p>
      <w:pPr>
        <w:pStyle w:val="4"/>
        <w:tabs>
          <w:tab w:val="left" w:pos="540"/>
        </w:tabs>
        <w:spacing w:line="360" w:lineRule="auto"/>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2.本项目不接受关联企业。</w:t>
      </w:r>
    </w:p>
    <w:bookmarkEnd w:id="73"/>
    <w:bookmarkEnd w:id="74"/>
    <w:p>
      <w:pPr>
        <w:pStyle w:val="5"/>
        <w:numPr>
          <w:ilvl w:val="1"/>
          <w:numId w:val="7"/>
        </w:numPr>
        <w:tabs>
          <w:tab w:val="clear" w:pos="851"/>
        </w:tabs>
        <w:spacing w:before="240" w:after="156" w:afterLines="50"/>
        <w:ind w:left="1134" w:hanging="709"/>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关于分公司投标</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分公司投标的，需提供具有法人资格的总公司的营业执照副本复印件及授权书，</w:t>
      </w:r>
      <w:r>
        <w:rPr>
          <w:rStyle w:val="61"/>
          <w:rFonts w:hint="eastAsia" w:hAnsi="宋体"/>
          <w:b/>
          <w:color w:val="000000" w:themeColor="text1"/>
          <w:sz w:val="24"/>
          <w:szCs w:val="24"/>
          <w:highlight w:val="none"/>
          <w14:textFill>
            <w14:solidFill>
              <w14:schemeClr w14:val="tx1"/>
            </w14:solidFill>
          </w14:textFill>
        </w:rPr>
        <w:t>授权书须加盖总公司公章</w:t>
      </w:r>
      <w:r>
        <w:rPr>
          <w:rStyle w:val="61"/>
          <w:rFonts w:hint="eastAsia" w:hAnsi="宋体"/>
          <w:color w:val="000000" w:themeColor="text1"/>
          <w:sz w:val="24"/>
          <w:szCs w:val="24"/>
          <w:highlight w:val="none"/>
          <w14:textFill>
            <w14:solidFill>
              <w14:schemeClr w14:val="tx1"/>
            </w14:solidFill>
          </w14:textFill>
        </w:rPr>
        <w:t>。总公司可就本项目或此类项目在一定范围或时间内出具授权书。已由总公司授权的，总公司取得的相关资质证书对分公司有效，法律法规或者行业另有规定的除外。</w:t>
      </w:r>
    </w:p>
    <w:p>
      <w:pPr>
        <w:pStyle w:val="3"/>
        <w:ind w:left="540"/>
        <w:jc w:val="left"/>
        <w:rPr>
          <w:rFonts w:hAnsi="宋体" w:cs="Times New Roman"/>
          <w:b/>
          <w:color w:val="000000" w:themeColor="text1"/>
          <w:sz w:val="24"/>
          <w:highlight w:val="none"/>
          <w14:textFill>
            <w14:solidFill>
              <w14:schemeClr w14:val="tx1"/>
            </w14:solidFill>
          </w14:textFill>
        </w:rPr>
      </w:pPr>
      <w:bookmarkStart w:id="75" w:name="_Toc17421"/>
      <w:bookmarkStart w:id="76" w:name="_Toc134956124"/>
      <w:r>
        <w:rPr>
          <w:rFonts w:hint="eastAsia" w:hAnsi="宋体" w:cs="Times New Roman"/>
          <w:b/>
          <w:color w:val="000000" w:themeColor="text1"/>
          <w:sz w:val="24"/>
          <w:highlight w:val="none"/>
          <w14:textFill>
            <w14:solidFill>
              <w14:schemeClr w14:val="tx1"/>
            </w14:solidFill>
          </w14:textFill>
        </w:rPr>
        <w:t>五、质疑与投诉</w:t>
      </w:r>
      <w:bookmarkEnd w:id="75"/>
      <w:bookmarkEnd w:id="76"/>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（一）</w:t>
      </w:r>
      <w:r>
        <w:rPr>
          <w:rStyle w:val="61"/>
          <w:rFonts w:hint="eastAsia" w:hAnsi="宋体"/>
          <w:color w:val="000000" w:themeColor="text1"/>
          <w:sz w:val="24"/>
          <w:szCs w:val="24"/>
          <w:highlight w:val="none"/>
          <w14:textFill>
            <w14:solidFill>
              <w14:schemeClr w14:val="tx1"/>
            </w14:solidFill>
          </w14:textFill>
        </w:rPr>
        <w:t>竞投人有质疑时，应当以书面形式（加盖竞投人公章）在质疑有效期限内向采购人提交质疑书原件，逾期质疑无效。竞投人以电话、传真或电邮形式提交的质疑属于无效质疑。</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（二）</w:t>
      </w:r>
      <w:r>
        <w:rPr>
          <w:rStyle w:val="61"/>
          <w:rFonts w:hint="eastAsia" w:hAnsi="宋体"/>
          <w:color w:val="000000" w:themeColor="text1"/>
          <w:sz w:val="24"/>
          <w:szCs w:val="24"/>
          <w:highlight w:val="none"/>
          <w14:textFill>
            <w14:solidFill>
              <w14:schemeClr w14:val="tx1"/>
            </w14:solidFill>
          </w14:textFill>
        </w:rPr>
        <w:t>质疑内容不得含有虚假、恶意成分。依据“谁主张谁举证”的原则，质疑者提供的质疑书应当包括下列主要内容：具体的质疑事项、事实依据及相关确凿的证明材料和注明事实的确切来源、竞投人名称、联系人与联系电话、质疑时间，质疑书应当署名并由法定代表人/负责人或授权代表签字并加盖公章。采购人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（三）</w:t>
      </w:r>
      <w:r>
        <w:rPr>
          <w:rStyle w:val="61"/>
          <w:rFonts w:hint="eastAsia" w:hAnsi="宋体"/>
          <w:color w:val="000000" w:themeColor="text1"/>
          <w:sz w:val="24"/>
          <w:szCs w:val="24"/>
          <w:highlight w:val="none"/>
          <w14:textFill>
            <w14:solidFill>
              <w14:schemeClr w14:val="tx1"/>
            </w14:solidFill>
          </w14:textFill>
        </w:rPr>
        <w:t>采购人在收到质疑者的有效书面质疑后七个工作日内作出答复，但答复的内容不涉及商业秘密，质疑者对采购人的质疑答复不满意，或采购人未在规定期限内作出答复的，可以在答复期满后十五个工作日内向同级或上级主管部门提出投诉。</w:t>
      </w:r>
    </w:p>
    <w:bookmarkEnd w:id="69"/>
    <w:bookmarkEnd w:id="70"/>
    <w:bookmarkEnd w:id="71"/>
    <w:bookmarkEnd w:id="72"/>
    <w:p>
      <w:pPr>
        <w:pStyle w:val="3"/>
        <w:ind w:left="540"/>
        <w:jc w:val="left"/>
        <w:rPr>
          <w:rFonts w:hAnsi="宋体" w:cs="Times New Roman"/>
          <w:b/>
          <w:color w:val="000000" w:themeColor="text1"/>
          <w:sz w:val="24"/>
          <w:szCs w:val="24"/>
          <w:highlight w:val="none"/>
          <w14:textFill>
            <w14:solidFill>
              <w14:schemeClr w14:val="tx1"/>
            </w14:solidFill>
          </w14:textFill>
        </w:rPr>
      </w:pPr>
      <w:bookmarkStart w:id="77" w:name="_Toc14291"/>
      <w:r>
        <w:rPr>
          <w:rFonts w:hint="eastAsia" w:hAnsi="宋体" w:cs="Times New Roman"/>
          <w:b/>
          <w:color w:val="000000" w:themeColor="text1"/>
          <w:sz w:val="24"/>
          <w:szCs w:val="24"/>
          <w:highlight w:val="none"/>
          <w14:textFill>
            <w14:solidFill>
              <w14:schemeClr w14:val="tx1"/>
            </w14:solidFill>
          </w14:textFill>
        </w:rPr>
        <w:t>六、竞价文件</w:t>
      </w:r>
      <w:bookmarkEnd w:id="77"/>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（一）竞价文件的制作</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1.竞投人应使用本平台提供的竞价文件管理软件对竞价文件进行合成、电子签名、电子签章及加密打包。如因不按要求编制而所引起系统无法检索、读取相关信息时，其后果由竞投人承担。</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2.竞投人不得将项目内容拆开投标，否则其报价将被视为非实质性响应。</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3.竞投人应按采购须知的规定及附件要求的内容和格式完整地填写和提供资料。竞投人必须对竞价文件所提供的全部资料的真实性承担法律责任，并无条件接受采购人对其中任何资料进行核实（核对原件）的要求。采购人核对发现有不一致或竞投人无正当理由不按时提供原件的，按中标无效处理。</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4.采购须知中，凡标有“★”的地方均为实质性响应条款，竞投人若有一项带“★”的条款未响应或不满足，将按无效投标处理。</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5.竞投人须对采购须知的对应要求给予唯一的实质性响应，否则将视为不响应。</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6.除在采购须知另有规定外，计量单位应使用中华人民共和国法定计量单位，以人民币填报所有报价。</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7.竞投人必须按采购须知指定的格式填写各种报价，各报价应计算正确。</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8.竞价文件以及竞投人与采购人就有关投标的往来函电均应使用中文。竞投人提交的支持性文件和印制的文件可以用另一种语言，但相应内容应翻译成中文，在解释竞价文件时以中文文本为准。</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9.竞价文件如需编页码，页码必须连续。</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10.对完整的电子竞价文件首页及竞价文件格式目录要求盖章处进行电子签章，视为具有有效、完整电子签章的竞价文件，具有同等的法律效力。</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（二）竞价文件的递交</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1．竞投人应在投标截止时间前，将竞价文件完整上传并保存在本平台系统中。投标截止时间结束后，系统将不允许竞投人上传竞价文件。</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2．本项目不接受现场纸质、邮寄纸质、电报、电话、传真方式投标。</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3．本平台对因不可抗力事件造成的竞价文件的损坏、丢失的，不承担责任。</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4．出现下述情形之一，属于未成功提交竞价文件：</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（1）至提交竞价文件截止时，竞价文件未完整上传并保存的。</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（2）竞价文件未按要求进行电子签名和电子签章，或电子签名或电子签章不完整的。</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（3）竞价文件损坏或格式不正确的。</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（4）未使用最新发布的采购须知制作竞价文件的。</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（三）竞价文件的修改与撤回</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1．在提交竞价文件截止时间前，竞投人可以修改或撤回未解密的竞价文件，竞价文件一经解密，将不允许修改或撤回。</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2．在提交竞价文件截止时间后，竞投人不得补充、修改和更换竞价文件。</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（四）竞价文件的解密</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竞投人须在规定的投标解密时间内，使用制作该竞价文件的同一业务数字证书对竞价文件进行解密，逾期未解密的竞价文件作无效投标处理。</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（五）投标有效期</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投标有效期为90天，自提交竞价文件的截止日期计算。投标有效期比规定时间短的将被作为非实质性响应采购须知而予以拒绝。</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在特殊情况下，采购人可于投标有效期满之前要求竞投人同意延长有效期，要求与答复均以书面形式进行。竞投人可以拒绝上述要求，但其投标将会被拒绝并无息退还投标保证金；同意延期的竞投人其权利与义务相应延至新的截止期。</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（六）投标保证金</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Ansi="宋体"/>
          <w:color w:val="000000" w:themeColor="text1"/>
          <w:sz w:val="24"/>
          <w:szCs w:val="24"/>
          <w:highlight w:val="none"/>
          <w14:textFill>
            <w14:solidFill>
              <w14:schemeClr w14:val="tx1"/>
            </w14:solidFill>
          </w14:textFill>
        </w:rPr>
        <w:t>本项目不收取投标保证金。</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（七）采购须知的解释权。</w:t>
      </w:r>
    </w:p>
    <w:p>
      <w:pPr>
        <w:pStyle w:val="5"/>
        <w:tabs>
          <w:tab w:val="clear" w:pos="851"/>
        </w:tabs>
        <w:ind w:firstLine="540" w:firstLineChars="225"/>
        <w:rPr>
          <w:rStyle w:val="61"/>
          <w:rFonts w:hAnsi="宋体"/>
          <w:color w:val="000000" w:themeColor="text1"/>
          <w:sz w:val="24"/>
          <w:szCs w:val="24"/>
          <w:highlight w:val="none"/>
          <w14:textFill>
            <w14:solidFill>
              <w14:schemeClr w14:val="tx1"/>
            </w14:solidFill>
          </w14:textFill>
        </w:rPr>
      </w:pPr>
      <w:r>
        <w:rPr>
          <w:rStyle w:val="61"/>
          <w:rFonts w:hint="eastAsia" w:hAnsi="宋体"/>
          <w:color w:val="000000" w:themeColor="text1"/>
          <w:sz w:val="24"/>
          <w:szCs w:val="24"/>
          <w:highlight w:val="none"/>
          <w14:textFill>
            <w14:solidFill>
              <w14:schemeClr w14:val="tx1"/>
            </w14:solidFill>
          </w14:textFill>
        </w:rPr>
        <w:t>本采购须知由广州农村产权交易所有限公司负责解释。</w:t>
      </w:r>
    </w:p>
    <w:p>
      <w:pPr>
        <w:pStyle w:val="4"/>
        <w:ind w:firstLine="540" w:firstLineChars="225"/>
        <w:rPr>
          <w:rFonts w:hAnsi="宋体"/>
          <w:color w:val="000000" w:themeColor="text1"/>
          <w:sz w:val="24"/>
          <w:szCs w:val="24"/>
          <w:highlight w:val="none"/>
          <w14:textFill>
            <w14:solidFill>
              <w14:schemeClr w14:val="tx1"/>
            </w14:solidFill>
          </w14:textFill>
        </w:rPr>
      </w:pPr>
    </w:p>
    <w:p>
      <w:pPr>
        <w:pStyle w:val="4"/>
        <w:ind w:firstLine="723" w:firstLineChars="300"/>
        <w:rPr>
          <w:b/>
          <w:bCs/>
          <w:sz w:val="24"/>
          <w:szCs w:val="24"/>
          <w:highlight w:val="none"/>
        </w:rPr>
      </w:pPr>
      <w:r>
        <w:rPr>
          <w:rFonts w:hint="eastAsia"/>
          <w:b/>
          <w:bCs/>
          <w:sz w:val="24"/>
          <w:szCs w:val="24"/>
          <w:highlight w:val="none"/>
        </w:rPr>
        <w:t>七、样品要求</w:t>
      </w:r>
    </w:p>
    <w:p>
      <w:pPr>
        <w:spacing w:line="360" w:lineRule="auto"/>
        <w:ind w:firstLine="480" w:firstLineChars="200"/>
        <w:rPr>
          <w:rFonts w:ascii="宋体" w:hAnsi="宋体"/>
          <w:sz w:val="24"/>
          <w:szCs w:val="21"/>
          <w:highlight w:val="none"/>
        </w:rPr>
      </w:pPr>
      <w:r>
        <w:rPr>
          <w:rFonts w:hint="eastAsia" w:ascii="宋体" w:hAnsi="宋体"/>
          <w:sz w:val="24"/>
          <w:szCs w:val="21"/>
          <w:highlight w:val="none"/>
        </w:rPr>
        <w:t>（一）</w:t>
      </w:r>
      <w:r>
        <w:rPr>
          <w:rFonts w:ascii="宋体" w:hAnsi="宋体"/>
          <w:sz w:val="24"/>
          <w:szCs w:val="21"/>
          <w:highlight w:val="none"/>
        </w:rPr>
        <w:t>所有</w:t>
      </w:r>
      <w:r>
        <w:rPr>
          <w:rFonts w:hint="eastAsia" w:ascii="宋体" w:hAnsi="宋体"/>
          <w:sz w:val="24"/>
          <w:szCs w:val="21"/>
          <w:highlight w:val="none"/>
        </w:rPr>
        <w:t>竞投</w:t>
      </w:r>
      <w:r>
        <w:rPr>
          <w:rFonts w:ascii="宋体" w:hAnsi="宋体"/>
          <w:sz w:val="24"/>
          <w:szCs w:val="21"/>
          <w:highlight w:val="none"/>
        </w:rPr>
        <w:t>人均须在线上</w:t>
      </w:r>
      <w:r>
        <w:rPr>
          <w:rFonts w:hint="eastAsia" w:ascii="宋体" w:hAnsi="宋体"/>
          <w:sz w:val="24"/>
          <w:szCs w:val="21"/>
          <w:highlight w:val="none"/>
        </w:rPr>
        <w:t>提交竞价文件截止时间前</w:t>
      </w:r>
      <w:r>
        <w:rPr>
          <w:rFonts w:ascii="宋体" w:hAnsi="宋体"/>
          <w:sz w:val="24"/>
          <w:szCs w:val="21"/>
          <w:highlight w:val="none"/>
        </w:rPr>
        <w:t>向采购代理机构现场提交实物样品和参加开标会</w:t>
      </w:r>
      <w:r>
        <w:rPr>
          <w:rFonts w:hint="eastAsia" w:ascii="宋体" w:hAnsi="宋体"/>
          <w:sz w:val="24"/>
          <w:szCs w:val="21"/>
          <w:highlight w:val="none"/>
        </w:rPr>
        <w:t>。</w:t>
      </w:r>
    </w:p>
    <w:p>
      <w:pPr>
        <w:spacing w:line="360" w:lineRule="auto"/>
        <w:ind w:firstLine="480" w:firstLineChars="200"/>
        <w:rPr>
          <w:rFonts w:ascii="宋体" w:hAnsi="宋体"/>
          <w:sz w:val="24"/>
          <w:szCs w:val="21"/>
          <w:highlight w:val="none"/>
        </w:rPr>
      </w:pPr>
      <w:r>
        <w:rPr>
          <w:rFonts w:hint="eastAsia" w:ascii="宋体" w:hAnsi="宋体"/>
          <w:sz w:val="24"/>
          <w:szCs w:val="21"/>
          <w:highlight w:val="none"/>
        </w:rPr>
        <w:t>（二）</w:t>
      </w:r>
      <w:r>
        <w:rPr>
          <w:rFonts w:hint="eastAsia" w:ascii="宋体" w:hAnsi="宋体"/>
          <w:b/>
          <w:sz w:val="24"/>
          <w:szCs w:val="21"/>
          <w:highlight w:val="none"/>
        </w:rPr>
        <w:t>竞投人代表须持本人身份证原件、复印件以及所属竞投人的授权委托书</w:t>
      </w:r>
      <w:r>
        <w:rPr>
          <w:rFonts w:ascii="宋体" w:hAnsi="宋体"/>
          <w:b/>
          <w:sz w:val="24"/>
          <w:szCs w:val="21"/>
          <w:highlight w:val="none"/>
        </w:rPr>
        <w:t>并加盖公章</w:t>
      </w:r>
      <w:r>
        <w:rPr>
          <w:rFonts w:hint="eastAsia" w:ascii="宋体" w:hAnsi="宋体"/>
          <w:b/>
          <w:sz w:val="24"/>
          <w:szCs w:val="21"/>
          <w:highlight w:val="none"/>
        </w:rPr>
        <w:t>、</w:t>
      </w:r>
      <w:r>
        <w:rPr>
          <w:rFonts w:hint="eastAsia" w:ascii="宋体" w:hAnsi="宋体"/>
          <w:b/>
          <w:sz w:val="24"/>
          <w:szCs w:val="21"/>
          <w:highlight w:val="none"/>
        </w:rPr>
        <w:t>粤康码绿码</w:t>
      </w:r>
      <w:r>
        <w:rPr>
          <w:rFonts w:hint="eastAsia" w:ascii="宋体" w:hAnsi="宋体"/>
          <w:b/>
          <w:sz w:val="24"/>
          <w:szCs w:val="21"/>
          <w:highlight w:val="none"/>
          <w:lang w:eastAsia="zh-CN"/>
        </w:rPr>
        <w:t>（</w:t>
      </w:r>
      <w:r>
        <w:rPr>
          <w:rFonts w:hint="eastAsia" w:ascii="宋体" w:hAnsi="宋体"/>
          <w:b/>
          <w:sz w:val="24"/>
          <w:szCs w:val="21"/>
          <w:highlight w:val="none"/>
          <w:lang w:val="en-US" w:eastAsia="zh-CN"/>
        </w:rPr>
        <w:t>24小时核酸检测阴性结果</w:t>
      </w:r>
      <w:r>
        <w:rPr>
          <w:rFonts w:hint="eastAsia" w:ascii="宋体" w:hAnsi="宋体"/>
          <w:b/>
          <w:sz w:val="24"/>
          <w:szCs w:val="21"/>
          <w:highlight w:val="none"/>
          <w:lang w:eastAsia="zh-CN"/>
        </w:rPr>
        <w:t>）</w:t>
      </w:r>
      <w:r>
        <w:rPr>
          <w:rFonts w:hint="eastAsia" w:ascii="宋体" w:hAnsi="宋体"/>
          <w:b/>
          <w:sz w:val="24"/>
          <w:szCs w:val="21"/>
          <w:highlight w:val="none"/>
        </w:rPr>
        <w:t>参加开标会。（若竞投人代表为所属竞投人法人则提供法定代表人证明书及身份证原件）。</w:t>
      </w:r>
    </w:p>
    <w:p>
      <w:pPr>
        <w:spacing w:line="360" w:lineRule="auto"/>
        <w:ind w:firstLine="480" w:firstLineChars="200"/>
        <w:rPr>
          <w:rFonts w:ascii="宋体" w:hAnsi="宋体"/>
          <w:sz w:val="24"/>
          <w:szCs w:val="21"/>
          <w:highlight w:val="none"/>
        </w:rPr>
      </w:pPr>
      <w:r>
        <w:rPr>
          <w:rFonts w:ascii="宋体" w:hAnsi="宋体"/>
          <w:sz w:val="24"/>
          <w:szCs w:val="21"/>
          <w:highlight w:val="none"/>
        </w:rPr>
        <w:t>实物样品必须符合</w:t>
      </w:r>
      <w:r>
        <w:rPr>
          <w:rFonts w:hint="eastAsia" w:ascii="宋体" w:hAnsi="宋体"/>
          <w:sz w:val="24"/>
          <w:szCs w:val="21"/>
          <w:highlight w:val="none"/>
        </w:rPr>
        <w:t>竞价</w:t>
      </w:r>
      <w:r>
        <w:rPr>
          <w:rFonts w:ascii="宋体" w:hAnsi="宋体"/>
          <w:sz w:val="24"/>
          <w:szCs w:val="21"/>
          <w:highlight w:val="none"/>
        </w:rPr>
        <w:t>文件的要求，规格按样品要求规格。所有投标样品均需标明竞投人名称、项目名称、</w:t>
      </w:r>
      <w:r>
        <w:rPr>
          <w:rFonts w:hint="eastAsia" w:ascii="宋体" w:hAnsi="宋体"/>
          <w:sz w:val="24"/>
          <w:szCs w:val="21"/>
          <w:highlight w:val="none"/>
        </w:rPr>
        <w:t>项目</w:t>
      </w:r>
      <w:r>
        <w:rPr>
          <w:rFonts w:ascii="宋体" w:hAnsi="宋体"/>
          <w:sz w:val="24"/>
          <w:szCs w:val="21"/>
          <w:highlight w:val="none"/>
        </w:rPr>
        <w:t>编号、联系人、联系电话并加盖公章</w:t>
      </w:r>
      <w:r>
        <w:rPr>
          <w:rFonts w:hint="eastAsia" w:ascii="宋体" w:hAnsi="宋体"/>
          <w:sz w:val="24"/>
          <w:szCs w:val="21"/>
          <w:highlight w:val="none"/>
        </w:rPr>
        <w:t>，</w:t>
      </w:r>
      <w:r>
        <w:rPr>
          <w:rFonts w:ascii="宋体" w:hAnsi="宋体"/>
          <w:b/>
          <w:sz w:val="24"/>
          <w:szCs w:val="21"/>
          <w:highlight w:val="none"/>
        </w:rPr>
        <w:t>竞投人提交样品时须提供样品清单。</w:t>
      </w:r>
    </w:p>
    <w:p>
      <w:pPr>
        <w:spacing w:line="360" w:lineRule="auto"/>
        <w:ind w:firstLine="480" w:firstLineChars="200"/>
        <w:rPr>
          <w:rFonts w:ascii="宋体" w:hAnsi="宋体"/>
          <w:sz w:val="24"/>
          <w:szCs w:val="21"/>
          <w:highlight w:val="none"/>
        </w:rPr>
      </w:pPr>
      <w:r>
        <w:rPr>
          <w:rFonts w:hint="eastAsia" w:ascii="宋体" w:hAnsi="宋体"/>
          <w:sz w:val="24"/>
          <w:szCs w:val="21"/>
          <w:highlight w:val="none"/>
        </w:rPr>
        <w:t>（三）</w:t>
      </w:r>
      <w:r>
        <w:rPr>
          <w:rFonts w:ascii="宋体" w:hAnsi="宋体"/>
          <w:sz w:val="24"/>
          <w:szCs w:val="21"/>
          <w:highlight w:val="none"/>
        </w:rPr>
        <w:t>采购人及采购代理机构对竞投人所递交样品污损不负任何责任。未中标的竞投人应在发出中标公告之日起7日内自行取回投标样品。7日后不取回样品，则视为自动放弃样品的所有权，采购代理机构有权自行处置相关样品。</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sz w:val="24"/>
          <w:szCs w:val="21"/>
          <w:highlight w:val="none"/>
        </w:rPr>
        <w:t>（四）如</w:t>
      </w:r>
      <w:r>
        <w:rPr>
          <w:rFonts w:ascii="宋体" w:hAnsi="宋体"/>
          <w:sz w:val="24"/>
          <w:szCs w:val="21"/>
          <w:highlight w:val="none"/>
        </w:rPr>
        <w:t>竞投</w:t>
      </w:r>
      <w:r>
        <w:rPr>
          <w:rFonts w:hint="eastAsia" w:ascii="宋体" w:hAnsi="宋体"/>
          <w:sz w:val="24"/>
          <w:szCs w:val="21"/>
          <w:highlight w:val="none"/>
        </w:rPr>
        <w:t>人被确认为供应方，其提交的采购实物样板将由采购人封存，作为验货的质量标准之一。</w:t>
      </w:r>
      <w:bookmarkStart w:id="78" w:name="_Toc175644388"/>
      <w:bookmarkStart w:id="79" w:name="_Toc98579068"/>
      <w:bookmarkStart w:id="80" w:name="_Toc98035088"/>
      <w:bookmarkStart w:id="81" w:name="_Toc50276195"/>
      <w:bookmarkStart w:id="82" w:name="_Toc101771371"/>
      <w:bookmarkStart w:id="83" w:name="_Toc98579609"/>
      <w:bookmarkStart w:id="84" w:name="_Toc46308527"/>
      <w:bookmarkStart w:id="85" w:name="_Toc37581420"/>
      <w:bookmarkStart w:id="86" w:name="_Toc50276156"/>
      <w:bookmarkStart w:id="87" w:name="_Toc37569519"/>
      <w:bookmarkStart w:id="88" w:name="_Toc37331080"/>
      <w:bookmarkStart w:id="89" w:name="_Toc37245276"/>
      <w:bookmarkStart w:id="90" w:name="_Toc37331038"/>
      <w:bookmarkStart w:id="91" w:name="_Toc101775124"/>
      <w:bookmarkStart w:id="92" w:name="_Toc101843124"/>
      <w:bookmarkStart w:id="93" w:name="_Toc46308683"/>
      <w:bookmarkStart w:id="94" w:name="_Toc98580292"/>
      <w:bookmarkStart w:id="95" w:name="_Toc37663391"/>
      <w:bookmarkStart w:id="96" w:name="_Toc98579010"/>
      <w:bookmarkStart w:id="97" w:name="_Toc40762370"/>
      <w:bookmarkStart w:id="98" w:name="_Toc101951257"/>
    </w:p>
    <w:p>
      <w:pPr>
        <w:pStyle w:val="2"/>
        <w:spacing w:before="200" w:after="200" w:line="360" w:lineRule="auto"/>
        <w:jc w:val="center"/>
        <w:rPr>
          <w:rFonts w:ascii="宋体" w:hAnsi="宋体"/>
          <w:b w:val="0"/>
          <w:color w:val="000000" w:themeColor="text1"/>
          <w:sz w:val="36"/>
          <w:szCs w:val="32"/>
          <w:highlight w:val="none"/>
          <w14:textFill>
            <w14:solidFill>
              <w14:schemeClr w14:val="tx1"/>
            </w14:solidFill>
          </w14:textFill>
        </w:rPr>
      </w:pPr>
      <w:bookmarkStart w:id="99" w:name="_Toc29342"/>
      <w:r>
        <w:rPr>
          <w:rFonts w:hint="eastAsia" w:ascii="宋体" w:hAnsi="宋体"/>
          <w:color w:val="000000" w:themeColor="text1"/>
          <w:sz w:val="32"/>
          <w:szCs w:val="30"/>
          <w:highlight w:val="none"/>
          <w14:textFill>
            <w14:solidFill>
              <w14:schemeClr w14:val="tx1"/>
            </w14:solidFill>
          </w14:textFill>
        </w:rPr>
        <w:t xml:space="preserve">第二章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Start w:id="100" w:name="_Toc37663392"/>
      <w:bookmarkStart w:id="101" w:name="_Toc46308684"/>
      <w:bookmarkStart w:id="102" w:name="_Toc37331039"/>
      <w:bookmarkStart w:id="103" w:name="_Toc46308528"/>
      <w:bookmarkStart w:id="104" w:name="_Toc37569520"/>
      <w:bookmarkStart w:id="105" w:name="_Toc37245277"/>
      <w:bookmarkStart w:id="106" w:name="_Toc40762371"/>
      <w:bookmarkStart w:id="107" w:name="_Toc37581421"/>
      <w:bookmarkStart w:id="108" w:name="_Toc37331081"/>
      <w:r>
        <w:rPr>
          <w:rFonts w:hint="eastAsia" w:ascii="宋体" w:hAnsi="宋体"/>
          <w:color w:val="000000" w:themeColor="text1"/>
          <w:sz w:val="32"/>
          <w:szCs w:val="30"/>
          <w:highlight w:val="none"/>
          <w14:textFill>
            <w14:solidFill>
              <w14:schemeClr w14:val="tx1"/>
            </w14:solidFill>
          </w14:textFill>
        </w:rPr>
        <w:t>用户需求书</w:t>
      </w:r>
      <w:bookmarkEnd w:id="99"/>
    </w:p>
    <w:bookmarkEnd w:id="100"/>
    <w:bookmarkEnd w:id="101"/>
    <w:bookmarkEnd w:id="102"/>
    <w:bookmarkEnd w:id="103"/>
    <w:bookmarkEnd w:id="104"/>
    <w:bookmarkEnd w:id="105"/>
    <w:bookmarkEnd w:id="106"/>
    <w:bookmarkEnd w:id="107"/>
    <w:bookmarkEnd w:id="108"/>
    <w:p>
      <w:pPr>
        <w:spacing w:line="360" w:lineRule="auto"/>
        <w:ind w:firstLine="470" w:firstLineChars="196"/>
        <w:rPr>
          <w:rFonts w:ascii="宋体" w:hAnsi="宋体" w:cs="宋体"/>
          <w:color w:val="000000" w:themeColor="text1"/>
          <w:sz w:val="24"/>
          <w:szCs w:val="24"/>
          <w:highlight w:val="none"/>
          <w14:textFill>
            <w14:solidFill>
              <w14:schemeClr w14:val="tx1"/>
            </w14:solidFill>
          </w14:textFill>
        </w:rPr>
      </w:pPr>
      <w:bookmarkStart w:id="109" w:name="_Toc98579610"/>
      <w:bookmarkStart w:id="110" w:name="_Toc101843125"/>
      <w:bookmarkStart w:id="111" w:name="_Toc50276165"/>
      <w:bookmarkStart w:id="112" w:name="_Toc101771372"/>
      <w:bookmarkStart w:id="113" w:name="_Toc41884706"/>
      <w:bookmarkStart w:id="114" w:name="_Toc98580293"/>
      <w:bookmarkStart w:id="115" w:name="_Toc175644394"/>
      <w:bookmarkStart w:id="116" w:name="_Toc101951263"/>
      <w:bookmarkStart w:id="117" w:name="_Toc98035089"/>
      <w:bookmarkStart w:id="118" w:name="_Toc50276204"/>
      <w:bookmarkStart w:id="119" w:name="_Toc98579011"/>
      <w:bookmarkStart w:id="120" w:name="_Toc46308531"/>
      <w:bookmarkStart w:id="121" w:name="_Toc98579069"/>
      <w:bookmarkStart w:id="122" w:name="_Toc42313172"/>
      <w:bookmarkStart w:id="123" w:name="_Toc41723936"/>
      <w:bookmarkStart w:id="124" w:name="_Toc42394673"/>
      <w:bookmarkStart w:id="125" w:name="_Toc101775125"/>
      <w:bookmarkStart w:id="126" w:name="_Toc42394517"/>
      <w:bookmarkStart w:id="127" w:name="_Toc46308687"/>
      <w:r>
        <w:rPr>
          <w:rFonts w:hint="eastAsia" w:ascii="宋体" w:hAnsi="宋体" w:cs="宋体"/>
          <w:color w:val="000000" w:themeColor="text1"/>
          <w:sz w:val="24"/>
          <w:szCs w:val="24"/>
          <w:highlight w:val="none"/>
          <w14:textFill>
            <w14:solidFill>
              <w14:schemeClr w14:val="tx1"/>
            </w14:solidFill>
          </w14:textFill>
        </w:rPr>
        <w:t xml:space="preserve">1、竞投人须对本项目为单位的服务进行整体响应，任何只对其中一部分内容进行的响应都被视为无效响应。 </w:t>
      </w:r>
    </w:p>
    <w:p>
      <w:pPr>
        <w:pStyle w:val="20"/>
        <w:ind w:firstLine="482" w:firstLineChars="200"/>
        <w:rPr>
          <w:rFonts w:ascii="Times New Roman" w:hAnsi="Times New Roman" w:eastAsiaTheme="minorEastAsia"/>
          <w:b/>
          <w:bCs/>
          <w:sz w:val="24"/>
          <w:szCs w:val="24"/>
          <w:highlight w:val="none"/>
        </w:rPr>
      </w:pPr>
      <w:r>
        <w:rPr>
          <w:rFonts w:hint="eastAsia" w:ascii="Times New Roman" w:hAnsi="Times New Roman" w:eastAsiaTheme="minorEastAsia"/>
          <w:b/>
          <w:bCs/>
          <w:sz w:val="24"/>
          <w:szCs w:val="24"/>
          <w:highlight w:val="none"/>
        </w:rPr>
        <w:t>一、</w:t>
      </w:r>
      <w:r>
        <w:rPr>
          <w:rFonts w:ascii="Times New Roman" w:hAnsi="Times New Roman" w:eastAsiaTheme="minorEastAsia"/>
          <w:b/>
          <w:bCs/>
          <w:sz w:val="24"/>
          <w:szCs w:val="24"/>
          <w:highlight w:val="none"/>
        </w:rPr>
        <w:t>采购</w:t>
      </w:r>
      <w:r>
        <w:rPr>
          <w:rFonts w:hint="eastAsia" w:ascii="Times New Roman" w:hAnsi="Times New Roman" w:eastAsiaTheme="minorEastAsia"/>
          <w:b/>
          <w:bCs/>
          <w:sz w:val="24"/>
          <w:szCs w:val="24"/>
          <w:highlight w:val="none"/>
        </w:rPr>
        <w:t>内容</w:t>
      </w:r>
    </w:p>
    <w:tbl>
      <w:tblPr>
        <w:tblStyle w:val="3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779"/>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6" w:type="dxa"/>
          </w:tcPr>
          <w:p>
            <w:pPr>
              <w:widowControl w:val="0"/>
              <w:spacing w:line="360" w:lineRule="auto"/>
              <w:jc w:val="center"/>
              <w:rPr>
                <w:rFonts w:ascii="宋体" w:hAnsi="宋体"/>
                <w:b/>
                <w:bCs/>
                <w:kern w:val="2"/>
                <w:sz w:val="24"/>
                <w:szCs w:val="24"/>
                <w:highlight w:val="none"/>
              </w:rPr>
            </w:pPr>
            <w:r>
              <w:rPr>
                <w:rFonts w:hint="eastAsia" w:ascii="宋体" w:hAnsi="宋体"/>
                <w:b/>
                <w:bCs/>
                <w:kern w:val="2"/>
                <w:sz w:val="24"/>
                <w:szCs w:val="24"/>
                <w:highlight w:val="none"/>
              </w:rPr>
              <w:t>项目内容</w:t>
            </w:r>
          </w:p>
        </w:tc>
        <w:tc>
          <w:tcPr>
            <w:tcW w:w="2779" w:type="dxa"/>
          </w:tcPr>
          <w:p>
            <w:pPr>
              <w:widowControl w:val="0"/>
              <w:spacing w:line="360" w:lineRule="auto"/>
              <w:jc w:val="center"/>
              <w:rPr>
                <w:rFonts w:ascii="宋体" w:hAnsi="宋体"/>
                <w:b/>
                <w:bCs/>
                <w:kern w:val="2"/>
                <w:sz w:val="24"/>
                <w:szCs w:val="24"/>
                <w:highlight w:val="none"/>
              </w:rPr>
            </w:pPr>
            <w:r>
              <w:rPr>
                <w:rFonts w:hint="eastAsia" w:ascii="宋体" w:hAnsi="宋体"/>
                <w:b/>
                <w:bCs/>
                <w:kern w:val="2"/>
                <w:sz w:val="24"/>
                <w:szCs w:val="24"/>
                <w:highlight w:val="none"/>
              </w:rPr>
              <w:t>数量</w:t>
            </w:r>
          </w:p>
        </w:tc>
        <w:tc>
          <w:tcPr>
            <w:tcW w:w="2777" w:type="dxa"/>
          </w:tcPr>
          <w:p>
            <w:pPr>
              <w:widowControl w:val="0"/>
              <w:spacing w:line="360" w:lineRule="auto"/>
              <w:jc w:val="center"/>
              <w:rPr>
                <w:rFonts w:ascii="宋体" w:hAnsi="宋体"/>
                <w:b/>
                <w:bCs/>
                <w:kern w:val="2"/>
                <w:sz w:val="24"/>
                <w:szCs w:val="24"/>
                <w:highlight w:val="none"/>
              </w:rPr>
            </w:pPr>
            <w:r>
              <w:rPr>
                <w:rFonts w:hint="eastAsia" w:ascii="宋体" w:hAnsi="宋体"/>
                <w:b/>
                <w:bCs/>
                <w:kern w:val="2"/>
                <w:sz w:val="24"/>
                <w:szCs w:val="24"/>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6"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40" w:line="360" w:lineRule="auto"/>
              <w:jc w:val="center"/>
              <w:textAlignment w:val="auto"/>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枕头</w:t>
            </w:r>
          </w:p>
        </w:tc>
        <w:tc>
          <w:tcPr>
            <w:tcW w:w="2779"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40" w:line="360" w:lineRule="auto"/>
              <w:jc w:val="center"/>
              <w:textAlignment w:val="auto"/>
              <w:rPr>
                <w:rFonts w:hint="eastAsia" w:ascii="宋体" w:hAnsi="宋体"/>
                <w:kern w:val="2"/>
                <w:sz w:val="24"/>
                <w:szCs w:val="24"/>
                <w:highlight w:val="none"/>
              </w:rPr>
            </w:pPr>
            <w:r>
              <w:rPr>
                <w:rFonts w:hint="eastAsia" w:ascii="宋体" w:hAnsi="宋体"/>
                <w:color w:val="auto"/>
                <w:kern w:val="2"/>
                <w:sz w:val="24"/>
                <w:szCs w:val="24"/>
                <w:highlight w:val="none"/>
                <w:lang w:val="en-US" w:eastAsia="zh-CN"/>
              </w:rPr>
              <w:t>5000</w:t>
            </w:r>
          </w:p>
        </w:tc>
        <w:tc>
          <w:tcPr>
            <w:tcW w:w="2777" w:type="dxa"/>
            <w:vAlign w:val="center"/>
          </w:tcPr>
          <w:p>
            <w:pPr>
              <w:keepNext w:val="0"/>
              <w:keepLines w:val="0"/>
              <w:pageBreakBefore w:val="0"/>
              <w:widowControl w:val="0"/>
              <w:kinsoku/>
              <w:wordWrap/>
              <w:overflowPunct/>
              <w:topLinePunct w:val="0"/>
              <w:autoSpaceDE/>
              <w:autoSpaceDN/>
              <w:bidi w:val="0"/>
              <w:adjustRightInd w:val="0"/>
              <w:snapToGrid w:val="0"/>
              <w:spacing w:before="0" w:beforeLines="40" w:line="360" w:lineRule="auto"/>
              <w:jc w:val="center"/>
              <w:textAlignment w:val="auto"/>
              <w:rPr>
                <w:rFonts w:hint="eastAsia" w:ascii="宋体" w:hAnsi="宋体"/>
                <w:kern w:val="2"/>
                <w:sz w:val="24"/>
                <w:szCs w:val="24"/>
                <w:highlight w:val="none"/>
              </w:rPr>
            </w:pPr>
            <w:r>
              <w:rPr>
                <w:rFonts w:hint="eastAsia" w:ascii="宋体" w:hAnsi="宋体"/>
                <w:color w:val="auto"/>
                <w:kern w:val="2"/>
                <w:sz w:val="24"/>
                <w:szCs w:val="24"/>
                <w:highlight w:val="none"/>
                <w:lang w:val="en-US" w:eastAsia="zh-CN"/>
              </w:rPr>
              <w:t>15</w:t>
            </w:r>
            <w:r>
              <w:rPr>
                <w:rFonts w:hint="eastAsia" w:ascii="宋体" w:hAnsi="宋体"/>
                <w:color w:val="auto"/>
                <w:kern w:val="2"/>
                <w:sz w:val="24"/>
                <w:szCs w:val="24"/>
                <w:highlight w:val="none"/>
              </w:rPr>
              <w:t>万元</w:t>
            </w:r>
          </w:p>
        </w:tc>
      </w:tr>
    </w:tbl>
    <w:p>
      <w:pPr>
        <w:widowControl w:val="0"/>
        <w:numPr>
          <w:ilvl w:val="0"/>
          <w:numId w:val="12"/>
        </w:numPr>
        <w:spacing w:line="360" w:lineRule="auto"/>
        <w:ind w:firstLine="482" w:firstLineChars="200"/>
        <w:jc w:val="both"/>
        <w:rPr>
          <w:rFonts w:ascii="宋体" w:hAnsi="宋体"/>
          <w:b/>
          <w:bCs/>
          <w:kern w:val="2"/>
          <w:sz w:val="24"/>
          <w:szCs w:val="24"/>
          <w:highlight w:val="none"/>
        </w:rPr>
      </w:pPr>
      <w:r>
        <w:rPr>
          <w:rFonts w:hint="eastAsia" w:ascii="宋体" w:hAnsi="宋体"/>
          <w:b/>
          <w:bCs/>
          <w:kern w:val="2"/>
          <w:sz w:val="24"/>
          <w:szCs w:val="24"/>
          <w:highlight w:val="none"/>
        </w:rPr>
        <w:t>采购项目基本要求：</w:t>
      </w:r>
    </w:p>
    <w:p>
      <w:pPr>
        <w:spacing w:line="360" w:lineRule="auto"/>
        <w:ind w:firstLine="480" w:firstLineChars="200"/>
        <w:rPr>
          <w:rFonts w:ascii="宋体" w:hAnsi="宋体" w:eastAsia="宋体"/>
          <w:color w:val="auto"/>
          <w:sz w:val="24"/>
          <w:szCs w:val="21"/>
          <w:highlight w:val="none"/>
        </w:rPr>
      </w:pPr>
      <w:r>
        <w:rPr>
          <w:rFonts w:hint="eastAsia" w:ascii="宋体" w:hAnsi="宋体" w:eastAsia="宋体"/>
          <w:color w:val="auto"/>
          <w:sz w:val="24"/>
          <w:szCs w:val="21"/>
          <w:highlight w:val="none"/>
        </w:rPr>
        <w:t>（一）投标人承诺</w:t>
      </w:r>
      <w:r>
        <w:rPr>
          <w:rFonts w:ascii="宋体" w:hAnsi="宋体" w:eastAsia="宋体"/>
          <w:color w:val="auto"/>
          <w:sz w:val="24"/>
          <w:szCs w:val="21"/>
          <w:highlight w:val="none"/>
        </w:rPr>
        <w:t>提供厂商原装、全新的、符合用户提出的有关质量标准的货物。</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（二）所有货物在开箱检验时</w:t>
      </w:r>
      <w:r>
        <w:rPr>
          <w:rFonts w:hint="eastAsia" w:ascii="宋体" w:hAnsi="宋体" w:eastAsia="宋体"/>
          <w:color w:val="auto"/>
          <w:sz w:val="24"/>
          <w:szCs w:val="21"/>
          <w:highlight w:val="none"/>
        </w:rPr>
        <w:t>需</w:t>
      </w:r>
      <w:r>
        <w:rPr>
          <w:rFonts w:ascii="宋体" w:hAnsi="宋体" w:eastAsia="宋体"/>
          <w:color w:val="auto"/>
          <w:sz w:val="24"/>
          <w:szCs w:val="21"/>
          <w:highlight w:val="none"/>
        </w:rPr>
        <w:t>完好，无破损，配置与装箱单相符。货物外观清洁。数量、质量及性能不低于本招标文件中提出的要求。</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（三）投标人</w:t>
      </w:r>
      <w:r>
        <w:rPr>
          <w:rFonts w:hint="eastAsia" w:ascii="宋体" w:hAnsi="宋体" w:eastAsia="宋体"/>
          <w:color w:val="auto"/>
          <w:sz w:val="24"/>
          <w:szCs w:val="21"/>
          <w:highlight w:val="none"/>
        </w:rPr>
        <w:t>需</w:t>
      </w:r>
      <w:r>
        <w:rPr>
          <w:rFonts w:ascii="宋体" w:hAnsi="宋体" w:eastAsia="宋体"/>
          <w:color w:val="auto"/>
          <w:sz w:val="24"/>
          <w:szCs w:val="21"/>
          <w:highlight w:val="none"/>
        </w:rPr>
        <w:t>确保设备及所有配套件的完整性和可靠性。对于招标文件没有列出，而对该设备的正常运行和维护必不可少的部件、配件等，投标人有责任给予补充。</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（四）投标人在实际供货时，若被发现提供的货物未能达到招标文件和投标文件中的有关要求，将按有关法规进行处罚，采购人将有权单方面终止合同的执行,并追究因中标</w:t>
      </w:r>
      <w:r>
        <w:rPr>
          <w:rFonts w:hint="eastAsia" w:ascii="宋体" w:hAnsi="宋体" w:eastAsia="宋体"/>
          <w:color w:val="auto"/>
          <w:sz w:val="24"/>
          <w:szCs w:val="21"/>
          <w:highlight w:val="none"/>
        </w:rPr>
        <w:t>人</w:t>
      </w:r>
      <w:r>
        <w:rPr>
          <w:rFonts w:ascii="宋体" w:hAnsi="宋体" w:eastAsia="宋体"/>
          <w:color w:val="auto"/>
          <w:sz w:val="24"/>
          <w:szCs w:val="21"/>
          <w:highlight w:val="none"/>
        </w:rPr>
        <w:t>所提供的未达到所承诺准确率产品而产生的所有损失和责任。</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五）由中标人负责按国家相关标准进行货物包装，设备的包装均应有良好的防湿、防锈、防潮、防雨、防腐及防碰撞的措施，并适宜本项目实施地点的气候条件。凡由于包装不良造成的损失和由此产生的费用均由中标人承担。</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（六）中标人承包及负责招标文件对中标人要求的一切事宜及责任。包括项目方案、货物供货、软件提供、运输、保管、安装、调试、验收、培训及相关服务等。</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（七）中标人负责将设备材料运输至采购人指定地点，包括装卸车、货物现场的搬运。各种设备需提供装箱清单，按装箱清单验收货物。</w:t>
      </w:r>
    </w:p>
    <w:p>
      <w:pPr>
        <w:spacing w:line="360" w:lineRule="auto"/>
        <w:ind w:firstLine="480" w:firstLineChars="200"/>
        <w:rPr>
          <w:highlight w:val="none"/>
        </w:rPr>
      </w:pPr>
      <w:r>
        <w:rPr>
          <w:rFonts w:ascii="宋体" w:hAnsi="宋体" w:eastAsia="宋体"/>
          <w:color w:val="auto"/>
          <w:sz w:val="24"/>
          <w:szCs w:val="21"/>
          <w:highlight w:val="none"/>
        </w:rPr>
        <w:t>（八）货物在现场的保管由中标人负责，直至项目安装、验收完毕。货物在系统安装调试验收合格前的保险由中标人负责，中标人负责其派出的现场服务人员人身意外保险。设备至采购人指定的使用现场的包装、保险及发运等环节和费用均由中标人负责。</w:t>
      </w:r>
    </w:p>
    <w:p>
      <w:pPr>
        <w:spacing w:line="360" w:lineRule="auto"/>
        <w:ind w:firstLine="480" w:firstLineChars="200"/>
        <w:rPr>
          <w:rFonts w:ascii="宋体" w:hAnsi="宋体" w:eastAsia="宋体"/>
          <w:color w:val="auto"/>
          <w:sz w:val="24"/>
          <w:szCs w:val="21"/>
          <w:highlight w:val="none"/>
        </w:rPr>
      </w:pPr>
      <w:r>
        <w:rPr>
          <w:rFonts w:ascii="宋体" w:hAnsi="宋体" w:eastAsia="宋体"/>
          <w:color w:val="auto"/>
          <w:sz w:val="24"/>
          <w:szCs w:val="21"/>
          <w:highlight w:val="none"/>
        </w:rPr>
        <w:t>（九）除采购人有明确规定外，中标人不得以任何方式转包或分包本项目。</w:t>
      </w:r>
    </w:p>
    <w:p>
      <w:pPr>
        <w:widowControl w:val="0"/>
        <w:spacing w:line="360" w:lineRule="auto"/>
        <w:ind w:firstLine="480" w:firstLineChars="200"/>
        <w:jc w:val="both"/>
        <w:rPr>
          <w:rFonts w:ascii="宋体" w:hAnsi="宋体"/>
          <w:b/>
          <w:bCs/>
          <w:color w:val="auto"/>
          <w:kern w:val="2"/>
          <w:sz w:val="24"/>
          <w:szCs w:val="24"/>
          <w:highlight w:val="none"/>
        </w:rPr>
      </w:pPr>
      <w:r>
        <w:rPr>
          <w:rFonts w:hint="eastAsia" w:ascii="宋体" w:hAnsi="宋体"/>
          <w:bCs/>
          <w:color w:val="auto"/>
          <w:kern w:val="2"/>
          <w:sz w:val="24"/>
          <w:szCs w:val="24"/>
          <w:highlight w:val="none"/>
        </w:rPr>
        <w:t>（</w:t>
      </w:r>
      <w:r>
        <w:rPr>
          <w:rFonts w:hint="eastAsia" w:ascii="宋体" w:hAnsi="宋体"/>
          <w:bCs/>
          <w:color w:val="auto"/>
          <w:kern w:val="2"/>
          <w:sz w:val="24"/>
          <w:szCs w:val="24"/>
          <w:highlight w:val="none"/>
          <w:lang w:eastAsia="zh-CN"/>
        </w:rPr>
        <w:t>十</w:t>
      </w:r>
      <w:r>
        <w:rPr>
          <w:rFonts w:hint="eastAsia" w:ascii="宋体" w:hAnsi="宋体"/>
          <w:bCs/>
          <w:color w:val="auto"/>
          <w:kern w:val="2"/>
          <w:sz w:val="24"/>
          <w:szCs w:val="24"/>
          <w:highlight w:val="none"/>
        </w:rPr>
        <w:t>）采购须知中，凡标有</w:t>
      </w:r>
      <w:r>
        <w:rPr>
          <w:rFonts w:hint="eastAsia" w:ascii="宋体" w:hAnsi="宋体" w:cs="宋体"/>
          <w:color w:val="auto"/>
          <w:sz w:val="24"/>
          <w:szCs w:val="24"/>
          <w:highlight w:val="none"/>
        </w:rPr>
        <w:t>“★”号的地方均为实质性响应条款，竞投人若有一项带“★”号条款未响应或不满足，将按无效投标处理。</w:t>
      </w:r>
    </w:p>
    <w:p>
      <w:pPr>
        <w:widowControl w:val="0"/>
        <w:spacing w:line="360" w:lineRule="auto"/>
        <w:ind w:firstLine="482" w:firstLineChars="200"/>
        <w:jc w:val="both"/>
        <w:rPr>
          <w:rFonts w:ascii="宋体" w:hAnsi="宋体"/>
          <w:b/>
          <w:bCs/>
          <w:kern w:val="2"/>
          <w:sz w:val="24"/>
          <w:szCs w:val="24"/>
          <w:highlight w:val="none"/>
        </w:rPr>
      </w:pPr>
    </w:p>
    <w:p>
      <w:pPr>
        <w:widowControl w:val="0"/>
        <w:spacing w:line="360" w:lineRule="auto"/>
        <w:ind w:firstLine="482" w:firstLineChars="200"/>
        <w:jc w:val="both"/>
        <w:rPr>
          <w:rFonts w:ascii="宋体" w:hAnsi="宋体"/>
          <w:b/>
          <w:bCs/>
          <w:kern w:val="2"/>
          <w:sz w:val="24"/>
          <w:szCs w:val="24"/>
          <w:highlight w:val="none"/>
        </w:rPr>
      </w:pPr>
      <w:r>
        <w:rPr>
          <w:rFonts w:hint="eastAsia" w:ascii="宋体" w:hAnsi="宋体"/>
          <w:b/>
          <w:bCs/>
          <w:kern w:val="2"/>
          <w:sz w:val="24"/>
          <w:szCs w:val="24"/>
          <w:highlight w:val="none"/>
        </w:rPr>
        <w:t>三、采购货物清单及技术要求：</w:t>
      </w:r>
    </w:p>
    <w:p>
      <w:pPr>
        <w:widowControl w:val="0"/>
        <w:spacing w:line="360" w:lineRule="auto"/>
        <w:ind w:firstLine="482" w:firstLineChars="200"/>
        <w:jc w:val="both"/>
        <w:rPr>
          <w:rFonts w:ascii="宋体" w:hAnsi="宋体"/>
          <w:b/>
          <w:bCs/>
          <w:kern w:val="2"/>
          <w:sz w:val="24"/>
          <w:szCs w:val="24"/>
          <w:highlight w:val="none"/>
        </w:rPr>
      </w:pPr>
      <w:r>
        <w:rPr>
          <w:rFonts w:hint="eastAsia" w:ascii="宋体" w:hAnsi="宋体"/>
          <w:b/>
          <w:bCs/>
          <w:kern w:val="2"/>
          <w:sz w:val="24"/>
          <w:szCs w:val="24"/>
          <w:highlight w:val="none"/>
        </w:rPr>
        <w:t>（一）货物清单</w:t>
      </w:r>
    </w:p>
    <w:tbl>
      <w:tblPr>
        <w:tblStyle w:val="177"/>
        <w:tblW w:w="91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339"/>
        <w:gridCol w:w="5232"/>
        <w:gridCol w:w="863"/>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vAlign w:val="center"/>
          </w:tcPr>
          <w:p>
            <w:pPr>
              <w:widowControl w:val="0"/>
              <w:spacing w:line="32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1339" w:type="dxa"/>
            <w:vAlign w:val="center"/>
          </w:tcPr>
          <w:p>
            <w:pPr>
              <w:widowControl w:val="0"/>
              <w:spacing w:line="320" w:lineRule="exact"/>
              <w:jc w:val="center"/>
              <w:rPr>
                <w:rFonts w:ascii="宋体" w:hAnsi="宋体" w:cs="宋体"/>
                <w:sz w:val="24"/>
                <w:szCs w:val="24"/>
                <w:highlight w:val="none"/>
              </w:rPr>
            </w:pPr>
            <w:r>
              <w:rPr>
                <w:rFonts w:hint="eastAsia" w:ascii="宋体" w:hAnsi="宋体" w:cs="宋体"/>
                <w:sz w:val="24"/>
                <w:szCs w:val="24"/>
                <w:highlight w:val="none"/>
              </w:rPr>
              <w:t>品名</w:t>
            </w:r>
          </w:p>
        </w:tc>
        <w:tc>
          <w:tcPr>
            <w:tcW w:w="5232" w:type="dxa"/>
            <w:vAlign w:val="center"/>
          </w:tcPr>
          <w:p>
            <w:pPr>
              <w:widowControl w:val="0"/>
              <w:spacing w:line="320" w:lineRule="exact"/>
              <w:jc w:val="center"/>
              <w:rPr>
                <w:rFonts w:ascii="宋体" w:hAnsi="宋体" w:cs="宋体"/>
                <w:sz w:val="24"/>
                <w:szCs w:val="24"/>
                <w:highlight w:val="none"/>
              </w:rPr>
            </w:pPr>
            <w:r>
              <w:rPr>
                <w:rFonts w:hint="eastAsia" w:ascii="宋体" w:hAnsi="宋体" w:cs="宋体"/>
                <w:sz w:val="24"/>
                <w:szCs w:val="24"/>
                <w:highlight w:val="none"/>
              </w:rPr>
              <w:t>技术参数</w:t>
            </w:r>
          </w:p>
        </w:tc>
        <w:tc>
          <w:tcPr>
            <w:tcW w:w="863" w:type="dxa"/>
            <w:vAlign w:val="center"/>
          </w:tcPr>
          <w:p>
            <w:pPr>
              <w:widowControl w:val="0"/>
              <w:spacing w:line="320" w:lineRule="exact"/>
              <w:jc w:val="center"/>
              <w:rPr>
                <w:rFonts w:ascii="宋体" w:hAnsi="宋体" w:cs="宋体"/>
                <w:sz w:val="24"/>
                <w:szCs w:val="24"/>
                <w:highlight w:val="none"/>
              </w:rPr>
            </w:pPr>
            <w:r>
              <w:rPr>
                <w:rFonts w:hint="eastAsia" w:ascii="宋体" w:hAnsi="宋体" w:cs="宋体"/>
                <w:sz w:val="24"/>
                <w:szCs w:val="24"/>
                <w:highlight w:val="none"/>
              </w:rPr>
              <w:t>数量</w:t>
            </w:r>
          </w:p>
        </w:tc>
        <w:tc>
          <w:tcPr>
            <w:tcW w:w="1138" w:type="dxa"/>
            <w:vAlign w:val="center"/>
          </w:tcPr>
          <w:p>
            <w:pPr>
              <w:widowControl w:val="0"/>
              <w:jc w:val="center"/>
              <w:rPr>
                <w:rFonts w:ascii="宋体" w:hAnsi="宋体" w:cs="宋体"/>
                <w:sz w:val="24"/>
                <w:szCs w:val="24"/>
                <w:highlight w:val="none"/>
              </w:rPr>
            </w:pPr>
            <w:r>
              <w:rPr>
                <w:rFonts w:hint="eastAsia" w:ascii="宋体" w:hAnsi="宋体" w:cs="宋体"/>
                <w:sz w:val="24"/>
                <w:szCs w:val="24"/>
                <w:highlight w:val="none"/>
              </w:rPr>
              <w:t>参考单价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vAlign w:val="center"/>
          </w:tcPr>
          <w:p>
            <w:pPr>
              <w:widowControl w:val="0"/>
              <w:spacing w:line="320" w:lineRule="exact"/>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1339" w:type="dxa"/>
            <w:vAlign w:val="center"/>
          </w:tcPr>
          <w:p>
            <w:pPr>
              <w:widowControl w:val="0"/>
              <w:spacing w:line="32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枕头（含枕套）</w:t>
            </w:r>
          </w:p>
        </w:tc>
        <w:tc>
          <w:tcPr>
            <w:tcW w:w="523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eastAsia="宋体"/>
                <w:sz w:val="24"/>
                <w:szCs w:val="21"/>
                <w:highlight w:val="none"/>
              </w:rPr>
            </w:pPr>
            <w:r>
              <w:rPr>
                <w:rFonts w:hint="eastAsia" w:ascii="宋体" w:hAnsi="宋体" w:eastAsia="宋体"/>
                <w:sz w:val="24"/>
                <w:szCs w:val="21"/>
                <w:highlight w:val="none"/>
              </w:rPr>
              <w:t>(1)总体要求：★产品不低于GB18401-2010《国家纺织产品基本安全技术规范》B类标准</w:t>
            </w:r>
            <w:r>
              <w:rPr>
                <w:rFonts w:hint="eastAsia" w:ascii="宋体" w:hAnsi="宋体" w:eastAsia="宋体"/>
                <w:sz w:val="24"/>
                <w:szCs w:val="21"/>
                <w:highlight w:val="none"/>
                <w:lang w:eastAsia="zh-CN"/>
              </w:rPr>
              <w:t>和</w:t>
            </w:r>
            <w:r>
              <w:rPr>
                <w:rFonts w:hint="eastAsia" w:ascii="宋体" w:hAnsi="宋体" w:eastAsia="宋体"/>
                <w:sz w:val="24"/>
                <w:szCs w:val="21"/>
                <w:highlight w:val="none"/>
              </w:rPr>
              <w:t>GB</w:t>
            </w:r>
            <w:r>
              <w:rPr>
                <w:rFonts w:hint="default" w:ascii="宋体" w:hAnsi="宋体" w:eastAsia="宋体"/>
                <w:sz w:val="24"/>
                <w:szCs w:val="21"/>
                <w:highlight w:val="none"/>
                <w:lang w:val="en"/>
              </w:rPr>
              <w:t>/</w:t>
            </w:r>
            <w:r>
              <w:rPr>
                <w:rFonts w:hint="eastAsia" w:ascii="宋体" w:hAnsi="宋体" w:eastAsia="宋体"/>
                <w:sz w:val="24"/>
                <w:szCs w:val="21"/>
                <w:highlight w:val="none"/>
              </w:rPr>
              <w:t>T 22843-2009 《枕,垫类产品》</w:t>
            </w:r>
            <w:r>
              <w:rPr>
                <w:rFonts w:hint="eastAsia" w:ascii="宋体" w:hAnsi="宋体" w:eastAsia="宋体"/>
                <w:sz w:val="24"/>
                <w:szCs w:val="21"/>
                <w:highlight w:val="none"/>
                <w:lang w:eastAsia="zh-CN"/>
              </w:rPr>
              <w:t>要求</w:t>
            </w:r>
            <w:r>
              <w:rPr>
                <w:rFonts w:hint="eastAsia" w:ascii="宋体" w:hAnsi="宋体" w:eastAsia="宋体"/>
                <w:sz w:val="24"/>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sz w:val="24"/>
                <w:szCs w:val="21"/>
                <w:highlight w:val="none"/>
              </w:rPr>
            </w:pPr>
            <w:r>
              <w:rPr>
                <w:rFonts w:hint="eastAsia" w:ascii="宋体" w:hAnsi="宋体" w:eastAsia="宋体"/>
                <w:sz w:val="24"/>
                <w:szCs w:val="21"/>
                <w:highlight w:val="none"/>
              </w:rPr>
              <w:t>(2)规格要求：长*宽：</w:t>
            </w:r>
            <w:r>
              <w:rPr>
                <w:rFonts w:hint="eastAsia" w:ascii="宋体" w:hAnsi="宋体" w:eastAsia="宋体"/>
                <w:sz w:val="24"/>
                <w:szCs w:val="21"/>
                <w:highlight w:val="none"/>
                <w:lang w:val="en-US" w:eastAsia="zh-CN"/>
              </w:rPr>
              <w:t>38</w:t>
            </w:r>
            <w:r>
              <w:rPr>
                <w:rFonts w:hint="eastAsia" w:ascii="宋体" w:hAnsi="宋体" w:eastAsia="宋体"/>
                <w:sz w:val="24"/>
                <w:szCs w:val="21"/>
                <w:highlight w:val="none"/>
              </w:rPr>
              <w:t>*</w:t>
            </w:r>
            <w:r>
              <w:rPr>
                <w:rFonts w:hint="eastAsia" w:ascii="宋体" w:hAnsi="宋体" w:eastAsia="宋体"/>
                <w:sz w:val="24"/>
                <w:szCs w:val="21"/>
                <w:highlight w:val="none"/>
                <w:lang w:val="en-US" w:eastAsia="zh-CN"/>
              </w:rPr>
              <w:t>63</w:t>
            </w:r>
            <w:r>
              <w:rPr>
                <w:rFonts w:hint="eastAsia" w:ascii="宋体" w:hAnsi="宋体" w:eastAsia="宋体"/>
                <w:sz w:val="24"/>
                <w:szCs w:val="21"/>
                <w:highlight w:val="none"/>
              </w:rPr>
              <w:t>m ，充</w:t>
            </w:r>
            <w:r>
              <w:rPr>
                <w:rFonts w:hint="eastAsia" w:ascii="宋体" w:hAnsi="宋体"/>
                <w:sz w:val="24"/>
                <w:szCs w:val="21"/>
                <w:highlight w:val="none"/>
              </w:rPr>
              <w:t>填物为中空涤纶短纤维絮片，重量大于</w:t>
            </w:r>
            <w:r>
              <w:rPr>
                <w:rFonts w:hint="eastAsia" w:ascii="宋体" w:hAnsi="宋体"/>
                <w:sz w:val="24"/>
                <w:szCs w:val="21"/>
                <w:highlight w:val="none"/>
                <w:lang w:val="en-US" w:eastAsia="zh-CN"/>
              </w:rPr>
              <w:t>0.3</w:t>
            </w:r>
            <w:r>
              <w:rPr>
                <w:rFonts w:hint="eastAsia" w:ascii="宋体" w:hAnsi="宋体"/>
                <w:sz w:val="24"/>
                <w:szCs w:val="21"/>
                <w:highlight w:val="none"/>
              </w:rPr>
              <w:t>KG（含被套）。</w:t>
            </w:r>
            <w:r>
              <w:rPr>
                <w:rFonts w:hint="eastAsia" w:ascii="宋体" w:hAnsi="宋体"/>
                <w:sz w:val="24"/>
                <w:szCs w:val="21"/>
                <w:highlight w:val="none"/>
                <w:lang w:eastAsia="zh-CN"/>
              </w:rPr>
              <w:t>枕</w:t>
            </w:r>
            <w:r>
              <w:rPr>
                <w:rFonts w:hint="eastAsia" w:ascii="宋体" w:hAnsi="宋体"/>
                <w:sz w:val="24"/>
                <w:szCs w:val="21"/>
                <w:highlight w:val="none"/>
              </w:rPr>
              <w:t>套规格与</w:t>
            </w:r>
            <w:r>
              <w:rPr>
                <w:rFonts w:hint="eastAsia" w:ascii="宋体" w:hAnsi="宋体"/>
                <w:sz w:val="24"/>
                <w:szCs w:val="21"/>
                <w:highlight w:val="none"/>
                <w:lang w:eastAsia="zh-CN"/>
              </w:rPr>
              <w:t>枕头</w:t>
            </w:r>
            <w:r>
              <w:rPr>
                <w:rFonts w:hint="eastAsia" w:ascii="宋体" w:hAnsi="宋体"/>
                <w:sz w:val="24"/>
                <w:szCs w:val="21"/>
                <w:highlight w:val="none"/>
              </w:rPr>
              <w:t>规格配套,重量大于0.</w:t>
            </w:r>
            <w:r>
              <w:rPr>
                <w:rFonts w:hint="eastAsia" w:ascii="宋体" w:hAnsi="宋体"/>
                <w:sz w:val="24"/>
                <w:szCs w:val="21"/>
                <w:highlight w:val="none"/>
                <w:lang w:val="en-US" w:eastAsia="zh-CN"/>
              </w:rPr>
              <w:t>08/</w:t>
            </w:r>
            <w:r>
              <w:rPr>
                <w:rFonts w:hint="eastAsia" w:ascii="宋体" w:hAnsi="宋体"/>
                <w:sz w:val="24"/>
                <w:szCs w:val="21"/>
                <w:highlight w:val="none"/>
              </w:rPr>
              <w:t>KG。</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sz w:val="24"/>
                <w:szCs w:val="21"/>
                <w:highlight w:val="none"/>
              </w:rPr>
            </w:pPr>
            <w:r>
              <w:rPr>
                <w:rFonts w:hint="eastAsia" w:ascii="宋体" w:hAnsi="宋体"/>
                <w:sz w:val="24"/>
                <w:szCs w:val="21"/>
                <w:highlight w:val="none"/>
              </w:rPr>
              <w:t>(3)外观和内在质量符合产品标准符合</w:t>
            </w:r>
            <w:r>
              <w:rPr>
                <w:rFonts w:hint="eastAsia" w:ascii="宋体" w:hAnsi="宋体" w:eastAsia="宋体"/>
                <w:sz w:val="24"/>
                <w:szCs w:val="21"/>
                <w:highlight w:val="none"/>
              </w:rPr>
              <w:t>GB</w:t>
            </w:r>
            <w:r>
              <w:rPr>
                <w:rFonts w:hint="default" w:ascii="宋体" w:hAnsi="宋体" w:eastAsia="宋体"/>
                <w:sz w:val="24"/>
                <w:szCs w:val="21"/>
                <w:highlight w:val="none"/>
                <w:lang w:val="en"/>
              </w:rPr>
              <w:t>/</w:t>
            </w:r>
            <w:r>
              <w:rPr>
                <w:rFonts w:hint="eastAsia" w:ascii="宋体" w:hAnsi="宋体" w:eastAsia="宋体"/>
                <w:sz w:val="24"/>
                <w:szCs w:val="21"/>
                <w:highlight w:val="none"/>
              </w:rPr>
              <w:t>T 22843-2009 《枕,垫类产品》</w:t>
            </w:r>
            <w:r>
              <w:rPr>
                <w:rFonts w:hint="eastAsia" w:ascii="宋体" w:hAnsi="宋体"/>
                <w:sz w:val="24"/>
                <w:szCs w:val="21"/>
                <w:highlight w:val="none"/>
              </w:rPr>
              <w:t>合格品以上要求。招标文件中对技术要求另有规定的，不得低于招标文件的规定。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sz w:val="24"/>
                <w:szCs w:val="21"/>
                <w:highlight w:val="none"/>
              </w:rPr>
            </w:pPr>
            <w:r>
              <w:rPr>
                <w:rFonts w:hint="eastAsia" w:ascii="宋体" w:hAnsi="宋体"/>
                <w:sz w:val="24"/>
                <w:szCs w:val="21"/>
                <w:highlight w:val="none"/>
              </w:rPr>
              <w:t>(4)材料要求：</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sz w:val="24"/>
                <w:szCs w:val="21"/>
                <w:highlight w:val="none"/>
              </w:rPr>
            </w:pPr>
            <w:r>
              <w:rPr>
                <w:rFonts w:hint="eastAsia" w:ascii="宋体" w:hAnsi="宋体"/>
                <w:sz w:val="24"/>
                <w:szCs w:val="21"/>
                <w:highlight w:val="none"/>
              </w:rPr>
              <w:fldChar w:fldCharType="begin"/>
            </w:r>
            <w:r>
              <w:rPr>
                <w:rFonts w:hint="eastAsia" w:ascii="宋体" w:hAnsi="宋体"/>
                <w:sz w:val="24"/>
                <w:szCs w:val="21"/>
                <w:highlight w:val="none"/>
              </w:rPr>
              <w:instrText xml:space="preserve"> = 1 \* GB3 \* MERGEFORMAT </w:instrText>
            </w:r>
            <w:r>
              <w:rPr>
                <w:rFonts w:hint="eastAsia" w:ascii="宋体" w:hAnsi="宋体"/>
                <w:sz w:val="24"/>
                <w:szCs w:val="21"/>
                <w:highlight w:val="none"/>
              </w:rPr>
              <w:fldChar w:fldCharType="separate"/>
            </w:r>
            <w:r>
              <w:rPr>
                <w:highlight w:val="none"/>
              </w:rPr>
              <w:t>①</w:t>
            </w:r>
            <w:r>
              <w:rPr>
                <w:rFonts w:hint="eastAsia" w:ascii="宋体" w:hAnsi="宋体"/>
                <w:sz w:val="24"/>
                <w:szCs w:val="21"/>
                <w:highlight w:val="none"/>
              </w:rPr>
              <w:fldChar w:fldCharType="end"/>
            </w:r>
            <w:r>
              <w:rPr>
                <w:rFonts w:hint="eastAsia" w:ascii="宋体" w:hAnsi="宋体"/>
                <w:sz w:val="24"/>
                <w:szCs w:val="21"/>
                <w:highlight w:val="none"/>
                <w:lang w:eastAsia="zh-CN"/>
              </w:rPr>
              <w:t>枕</w:t>
            </w:r>
            <w:r>
              <w:rPr>
                <w:rFonts w:hint="eastAsia" w:ascii="宋体" w:hAnsi="宋体"/>
                <w:sz w:val="24"/>
                <w:szCs w:val="21"/>
                <w:highlight w:val="none"/>
              </w:rPr>
              <w:t>套面料：为纯棉印花平布（含棉100%，面料颜色图案按采购人审定的样式），规格18tex/18tex,断裂强力径向≧300N/5cm、纬向≧300N/5cm，甲醛含量≦75mg/kg,耐洗色牢度3级，无异味。</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eastAsia="宋体"/>
                <w:sz w:val="24"/>
                <w:szCs w:val="21"/>
                <w:highlight w:val="none"/>
              </w:rPr>
            </w:pPr>
            <w:r>
              <w:rPr>
                <w:rFonts w:hint="eastAsia" w:ascii="宋体" w:hAnsi="宋体"/>
                <w:sz w:val="24"/>
                <w:szCs w:val="21"/>
                <w:highlight w:val="none"/>
              </w:rPr>
              <w:fldChar w:fldCharType="begin"/>
            </w:r>
            <w:r>
              <w:rPr>
                <w:rFonts w:hint="eastAsia" w:ascii="宋体" w:hAnsi="宋体"/>
                <w:sz w:val="24"/>
                <w:szCs w:val="21"/>
                <w:highlight w:val="none"/>
              </w:rPr>
              <w:instrText xml:space="preserve"> = 2 \* GB3 \* MERGEFORMAT </w:instrText>
            </w:r>
            <w:r>
              <w:rPr>
                <w:rFonts w:hint="eastAsia" w:ascii="宋体" w:hAnsi="宋体"/>
                <w:sz w:val="24"/>
                <w:szCs w:val="21"/>
                <w:highlight w:val="none"/>
              </w:rPr>
              <w:fldChar w:fldCharType="separate"/>
            </w:r>
            <w:r>
              <w:rPr>
                <w:highlight w:val="none"/>
              </w:rPr>
              <w:t>②</w:t>
            </w:r>
            <w:r>
              <w:rPr>
                <w:rFonts w:hint="eastAsia" w:ascii="宋体" w:hAnsi="宋体"/>
                <w:sz w:val="24"/>
                <w:szCs w:val="21"/>
                <w:highlight w:val="none"/>
              </w:rPr>
              <w:fldChar w:fldCharType="end"/>
            </w:r>
            <w:r>
              <w:rPr>
                <w:rFonts w:hint="eastAsia" w:ascii="宋体" w:hAnsi="宋体"/>
                <w:sz w:val="24"/>
                <w:szCs w:val="21"/>
                <w:highlight w:val="none"/>
                <w:lang w:eastAsia="zh-CN"/>
              </w:rPr>
              <w:t>枕芯</w:t>
            </w:r>
            <w:r>
              <w:rPr>
                <w:rFonts w:hint="eastAsia" w:ascii="宋体" w:hAnsi="宋体"/>
                <w:sz w:val="24"/>
                <w:szCs w:val="21"/>
                <w:highlight w:val="none"/>
              </w:rPr>
              <w:t>：原生</w:t>
            </w:r>
            <w:r>
              <w:rPr>
                <w:rFonts w:hint="eastAsia" w:ascii="宋体" w:hAnsi="宋体" w:eastAsia="宋体"/>
                <w:sz w:val="24"/>
                <w:szCs w:val="21"/>
                <w:highlight w:val="none"/>
              </w:rPr>
              <w:t>中空涤纶短纤维絮片（单位面积质量≧650g/m²,原生中空涤纶短纤维含量≧70%，规格7D、64mm，本色，无异味，无油污痕，无硬结杂质，符合GB18383-2007《絮用纤维通用技术要求》等国家标准要求。</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宋体" w:hAnsi="宋体" w:eastAsia="宋体"/>
                <w:sz w:val="24"/>
                <w:szCs w:val="21"/>
                <w:highlight w:val="none"/>
              </w:rPr>
            </w:pPr>
            <w:r>
              <w:rPr>
                <w:rFonts w:hint="eastAsia" w:ascii="宋体" w:hAnsi="宋体"/>
                <w:sz w:val="24"/>
                <w:szCs w:val="21"/>
                <w:highlight w:val="none"/>
              </w:rPr>
              <w:t>(</w:t>
            </w:r>
            <w:r>
              <w:rPr>
                <w:rFonts w:hint="eastAsia" w:ascii="宋体" w:hAnsi="宋体"/>
                <w:sz w:val="24"/>
                <w:szCs w:val="21"/>
                <w:highlight w:val="none"/>
                <w:lang w:val="en-US" w:eastAsia="zh-CN"/>
              </w:rPr>
              <w:t>5</w:t>
            </w:r>
            <w:r>
              <w:rPr>
                <w:rFonts w:hint="eastAsia" w:ascii="宋体" w:hAnsi="宋体"/>
                <w:sz w:val="24"/>
                <w:szCs w:val="21"/>
                <w:highlight w:val="none"/>
              </w:rPr>
              <w:t>)</w:t>
            </w:r>
            <w:r>
              <w:rPr>
                <w:rFonts w:hint="eastAsia" w:ascii="宋体" w:hAnsi="宋体" w:eastAsia="宋体"/>
                <w:sz w:val="24"/>
                <w:szCs w:val="21"/>
                <w:highlight w:val="none"/>
              </w:rPr>
              <w:t>缝制要求：缝纫针距：被套、棉被面、里结合及拼接缝制符合标准，线迹平直，美观牢靠，被胎包边</w:t>
            </w:r>
          </w:p>
          <w:p>
            <w:pPr>
              <w:pStyle w:val="16"/>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宋体" w:hAnsi="宋体" w:eastAsia="宋体"/>
                <w:color w:val="auto"/>
                <w:sz w:val="24"/>
                <w:szCs w:val="21"/>
                <w:highlight w:val="none"/>
              </w:rPr>
            </w:pPr>
            <w:r>
              <w:rPr>
                <w:rFonts w:hint="eastAsia" w:ascii="宋体" w:hAnsi="宋体" w:eastAsia="宋体"/>
                <w:sz w:val="24"/>
                <w:szCs w:val="21"/>
                <w:highlight w:val="none"/>
              </w:rPr>
              <w:t>(6)包装要求：每</w:t>
            </w:r>
            <w:r>
              <w:rPr>
                <w:rFonts w:hint="eastAsia" w:ascii="宋体" w:hAnsi="宋体"/>
                <w:sz w:val="24"/>
                <w:szCs w:val="21"/>
                <w:highlight w:val="none"/>
                <w:lang w:val="en-US" w:eastAsia="zh-CN"/>
              </w:rPr>
              <w:t>20</w:t>
            </w:r>
            <w:r>
              <w:rPr>
                <w:rFonts w:hint="eastAsia" w:ascii="宋体" w:hAnsi="宋体"/>
                <w:sz w:val="24"/>
                <w:szCs w:val="21"/>
                <w:highlight w:val="none"/>
                <w:lang w:eastAsia="zh-CN"/>
              </w:rPr>
              <w:t>个</w:t>
            </w:r>
            <w:r>
              <w:rPr>
                <w:rFonts w:hint="eastAsia" w:ascii="宋体" w:hAnsi="宋体" w:eastAsia="宋体"/>
                <w:sz w:val="24"/>
                <w:szCs w:val="21"/>
                <w:highlight w:val="none"/>
              </w:rPr>
              <w:t>一捆。外包装采用白色单面复膜聚丙烯编制布，单位面积质量≧90g/㎡,聚丙烯为原生料，具有抗紫外线性能，断裂强力≧700N/5cm,织密≧40根/10cm。牛皮纸需完全包裹产品，无露缝，无破裂。包内附产品合格证，包装外标注产品名称、数量、规格、生产日期、供应商等产品信息。</w:t>
            </w:r>
          </w:p>
        </w:tc>
        <w:tc>
          <w:tcPr>
            <w:tcW w:w="863" w:type="dxa"/>
            <w:vAlign w:val="center"/>
          </w:tcPr>
          <w:p>
            <w:pPr>
              <w:widowControl w:val="0"/>
              <w:spacing w:line="320" w:lineRule="exact"/>
              <w:jc w:val="center"/>
              <w:rPr>
                <w:rFonts w:hint="default" w:ascii="宋体" w:hAnsi="宋体" w:cs="宋体"/>
                <w:sz w:val="24"/>
                <w:szCs w:val="24"/>
                <w:highlight w:val="none"/>
                <w:lang w:val="en-US"/>
              </w:rPr>
            </w:pPr>
            <w:r>
              <w:rPr>
                <w:rFonts w:hint="eastAsia" w:ascii="宋体" w:hAnsi="宋体"/>
                <w:color w:val="auto"/>
                <w:kern w:val="2"/>
                <w:sz w:val="24"/>
                <w:szCs w:val="24"/>
                <w:highlight w:val="none"/>
                <w:lang w:val="en-US" w:eastAsia="zh-CN"/>
              </w:rPr>
              <w:t>5000个</w:t>
            </w:r>
          </w:p>
        </w:tc>
        <w:tc>
          <w:tcPr>
            <w:tcW w:w="1138" w:type="dxa"/>
            <w:vAlign w:val="center"/>
          </w:tcPr>
          <w:p>
            <w:pPr>
              <w:widowControl w:val="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30元/个</w:t>
            </w:r>
          </w:p>
        </w:tc>
      </w:tr>
    </w:tbl>
    <w:p>
      <w:pPr>
        <w:pStyle w:val="16"/>
        <w:ind w:firstLine="435"/>
        <w:rPr>
          <w:rFonts w:ascii="宋体" w:hAnsi="宋体"/>
          <w:bCs/>
          <w:sz w:val="24"/>
          <w:szCs w:val="24"/>
          <w:highlight w:val="none"/>
        </w:rPr>
      </w:pPr>
      <w:r>
        <w:rPr>
          <w:rFonts w:hint="eastAsia" w:ascii="宋体" w:hAnsi="宋体"/>
          <w:bCs/>
          <w:sz w:val="24"/>
          <w:szCs w:val="24"/>
          <w:highlight w:val="none"/>
        </w:rPr>
        <w:t xml:space="preserve">  注：★1</w:t>
      </w:r>
      <w:r>
        <w:rPr>
          <w:rFonts w:ascii="宋体" w:hAnsi="宋体"/>
          <w:bCs/>
          <w:sz w:val="24"/>
          <w:szCs w:val="24"/>
          <w:highlight w:val="none"/>
        </w:rPr>
        <w:t>.</w:t>
      </w:r>
      <w:r>
        <w:rPr>
          <w:rFonts w:hint="eastAsia" w:ascii="宋体" w:hAnsi="宋体"/>
          <w:bCs/>
          <w:sz w:val="24"/>
          <w:szCs w:val="24"/>
          <w:highlight w:val="none"/>
        </w:rPr>
        <w:t>产品要求符合标准，开标当天须提供</w:t>
      </w:r>
      <w:r>
        <w:rPr>
          <w:rFonts w:hint="eastAsia" w:ascii="宋体" w:hAnsi="宋体"/>
          <w:b/>
          <w:bCs/>
          <w:sz w:val="24"/>
          <w:szCs w:val="24"/>
          <w:highlight w:val="none"/>
        </w:rPr>
        <w:t>样品</w:t>
      </w:r>
      <w:r>
        <w:rPr>
          <w:rFonts w:hint="eastAsia" w:ascii="宋体" w:hAnsi="宋体"/>
          <w:bCs/>
          <w:sz w:val="24"/>
          <w:szCs w:val="24"/>
          <w:highlight w:val="none"/>
        </w:rPr>
        <w:t>以及按照《货物清单》中的技术参数提供</w:t>
      </w:r>
      <w:r>
        <w:rPr>
          <w:rFonts w:hint="eastAsia" w:ascii="宋体" w:hAnsi="宋体"/>
          <w:b/>
          <w:bCs/>
          <w:sz w:val="24"/>
          <w:szCs w:val="24"/>
          <w:highlight w:val="none"/>
        </w:rPr>
        <w:t>相关报告或权威证明材料</w:t>
      </w:r>
      <w:r>
        <w:rPr>
          <w:rFonts w:hint="eastAsia" w:ascii="宋体" w:hAnsi="宋体"/>
          <w:bCs/>
          <w:sz w:val="24"/>
          <w:szCs w:val="24"/>
          <w:highlight w:val="none"/>
        </w:rPr>
        <w:t>，作为判断产品质量的重要依据。</w:t>
      </w:r>
      <w:r>
        <w:rPr>
          <w:rFonts w:ascii="宋体" w:hAnsi="宋体"/>
          <w:bCs/>
          <w:sz w:val="24"/>
          <w:szCs w:val="24"/>
          <w:highlight w:val="none"/>
        </w:rPr>
        <w:t>提供样品</w:t>
      </w:r>
      <w:r>
        <w:rPr>
          <w:rFonts w:hint="eastAsia" w:ascii="宋体" w:hAnsi="宋体"/>
          <w:bCs/>
          <w:sz w:val="24"/>
          <w:szCs w:val="24"/>
          <w:highlight w:val="none"/>
        </w:rPr>
        <w:t>如下：</w:t>
      </w:r>
    </w:p>
    <w:tbl>
      <w:tblPr>
        <w:tblStyle w:val="38"/>
        <w:tblW w:w="86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3293"/>
        <w:gridCol w:w="187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序号</w:t>
            </w:r>
          </w:p>
        </w:tc>
        <w:tc>
          <w:tcPr>
            <w:tcW w:w="3293"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名称</w:t>
            </w:r>
          </w:p>
        </w:tc>
        <w:tc>
          <w:tcPr>
            <w:tcW w:w="1870"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数量</w:t>
            </w:r>
          </w:p>
        </w:tc>
        <w:tc>
          <w:tcPr>
            <w:tcW w:w="2535"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shd w:val="clear" w:color="auto" w:fill="auto"/>
            <w:vAlign w:val="center"/>
          </w:tcPr>
          <w:p>
            <w:pPr>
              <w:widowControl w:val="0"/>
              <w:spacing w:line="320" w:lineRule="exact"/>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3293" w:type="dxa"/>
            <w:shd w:val="clear" w:color="auto" w:fill="auto"/>
            <w:vAlign w:val="center"/>
          </w:tcPr>
          <w:p>
            <w:pPr>
              <w:widowControl w:val="0"/>
              <w:spacing w:line="320" w:lineRule="exact"/>
              <w:jc w:val="center"/>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枕头（含枕套）</w:t>
            </w:r>
          </w:p>
        </w:tc>
        <w:tc>
          <w:tcPr>
            <w:tcW w:w="1870" w:type="dxa"/>
            <w:shd w:val="clear" w:color="auto" w:fill="auto"/>
            <w:vAlign w:val="center"/>
          </w:tcPr>
          <w:p>
            <w:pPr>
              <w:widowControl w:val="0"/>
              <w:spacing w:line="320" w:lineRule="exact"/>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1个</w:t>
            </w:r>
          </w:p>
        </w:tc>
        <w:tc>
          <w:tcPr>
            <w:tcW w:w="2535" w:type="dxa"/>
            <w:shd w:val="clear" w:color="auto" w:fill="auto"/>
          </w:tcPr>
          <w:p>
            <w:pPr>
              <w:widowControl w:val="0"/>
              <w:spacing w:line="320" w:lineRule="exact"/>
              <w:jc w:val="center"/>
              <w:rPr>
                <w:rFonts w:hint="eastAsia" w:ascii="宋体" w:hAnsi="宋体" w:cs="宋体"/>
                <w:sz w:val="24"/>
                <w:szCs w:val="24"/>
                <w:highlight w:val="none"/>
              </w:rPr>
            </w:pPr>
            <w:r>
              <w:rPr>
                <w:rFonts w:hint="eastAsia" w:ascii="宋体" w:hAnsi="宋体" w:eastAsia="宋体"/>
                <w:spacing w:val="-11"/>
                <w:sz w:val="24"/>
                <w:szCs w:val="21"/>
                <w:highlight w:val="none"/>
              </w:rPr>
              <w:t>提供成品样品和</w:t>
            </w:r>
            <w:r>
              <w:rPr>
                <w:rFonts w:hint="eastAsia" w:ascii="宋体" w:hAnsi="宋体"/>
                <w:spacing w:val="-11"/>
                <w:sz w:val="24"/>
                <w:szCs w:val="21"/>
                <w:highlight w:val="none"/>
                <w:lang w:val="en-US" w:eastAsia="zh-CN"/>
              </w:rPr>
              <w:t>相关报告或权威证明材料</w:t>
            </w:r>
          </w:p>
        </w:tc>
      </w:tr>
    </w:tbl>
    <w:p>
      <w:pPr>
        <w:pStyle w:val="16"/>
        <w:ind w:firstLine="435"/>
        <w:rPr>
          <w:rFonts w:ascii="宋体" w:hAnsi="宋体"/>
          <w:b/>
          <w:bCs/>
          <w:sz w:val="24"/>
          <w:szCs w:val="24"/>
          <w:highlight w:val="none"/>
        </w:rPr>
      </w:pPr>
      <w:r>
        <w:rPr>
          <w:rFonts w:hint="eastAsia" w:ascii="宋体" w:hAnsi="宋体"/>
          <w:b/>
          <w:bCs/>
          <w:sz w:val="24"/>
          <w:szCs w:val="24"/>
          <w:highlight w:val="none"/>
        </w:rPr>
        <w:t>四、项目商务要求：</w:t>
      </w:r>
    </w:p>
    <w:p>
      <w:pPr>
        <w:pStyle w:val="16"/>
        <w:ind w:firstLine="435"/>
        <w:rPr>
          <w:rFonts w:ascii="宋体" w:hAnsi="宋体"/>
          <w:b/>
          <w:bCs/>
          <w:sz w:val="24"/>
          <w:szCs w:val="24"/>
          <w:highlight w:val="none"/>
        </w:rPr>
      </w:pPr>
      <w:r>
        <w:rPr>
          <w:rFonts w:hint="eastAsia" w:ascii="宋体" w:hAnsi="宋体"/>
          <w:b/>
          <w:bCs/>
          <w:sz w:val="24"/>
          <w:szCs w:val="24"/>
          <w:highlight w:val="none"/>
        </w:rPr>
        <w:t>（一）交货时间及地点</w:t>
      </w:r>
    </w:p>
    <w:p>
      <w:pPr>
        <w:spacing w:line="360" w:lineRule="auto"/>
        <w:ind w:firstLine="480" w:firstLineChars="200"/>
        <w:rPr>
          <w:rFonts w:hint="eastAsia" w:ascii="宋体" w:hAnsi="宋体"/>
          <w:color w:val="auto"/>
          <w:sz w:val="24"/>
          <w:szCs w:val="21"/>
          <w:highlight w:val="none"/>
        </w:rPr>
      </w:pPr>
      <w:r>
        <w:rPr>
          <w:rFonts w:hint="eastAsia" w:ascii="宋体" w:hAnsi="宋体" w:eastAsia="宋体"/>
          <w:sz w:val="24"/>
          <w:szCs w:val="21"/>
          <w:highlight w:val="none"/>
        </w:rPr>
        <w:t>★</w:t>
      </w:r>
      <w:r>
        <w:rPr>
          <w:rFonts w:hint="eastAsia" w:ascii="宋体" w:hAnsi="宋体" w:eastAsia="宋体" w:cs="宋体"/>
          <w:color w:val="auto"/>
          <w:sz w:val="24"/>
          <w:szCs w:val="24"/>
          <w:highlight w:val="none"/>
          <w:lang w:eastAsia="zh-CN"/>
        </w:rPr>
        <w:t>1.交货时间、地点和方式：中标后企业应立即组织生产，首次</w:t>
      </w:r>
      <w:r>
        <w:rPr>
          <w:rFonts w:hint="eastAsia" w:ascii="宋体" w:hAnsi="宋体" w:cs="宋体"/>
          <w:color w:val="auto"/>
          <w:sz w:val="24"/>
          <w:szCs w:val="24"/>
          <w:highlight w:val="none"/>
          <w:lang w:eastAsia="zh-CN"/>
        </w:rPr>
        <w:t>备</w:t>
      </w:r>
      <w:r>
        <w:rPr>
          <w:rFonts w:hint="eastAsia" w:ascii="宋体" w:hAnsi="宋体" w:eastAsia="宋体" w:cs="宋体"/>
          <w:color w:val="auto"/>
          <w:sz w:val="24"/>
          <w:szCs w:val="24"/>
          <w:highlight w:val="none"/>
          <w:lang w:eastAsia="zh-CN"/>
        </w:rPr>
        <w:t>货</w:t>
      </w:r>
      <w:r>
        <w:rPr>
          <w:rFonts w:hint="eastAsia" w:ascii="宋体" w:hAnsi="宋体" w:cs="宋体"/>
          <w:color w:val="auto"/>
          <w:sz w:val="24"/>
          <w:szCs w:val="24"/>
          <w:highlight w:val="none"/>
          <w:lang w:eastAsia="zh-CN"/>
        </w:rPr>
        <w:t>时间距开标时间</w:t>
      </w:r>
      <w:r>
        <w:rPr>
          <w:rFonts w:hint="eastAsia" w:ascii="宋体" w:hAnsi="宋体" w:eastAsia="宋体" w:cs="宋体"/>
          <w:color w:val="auto"/>
          <w:sz w:val="24"/>
          <w:szCs w:val="24"/>
          <w:highlight w:val="none"/>
          <w:lang w:val="en-US" w:eastAsia="zh-CN"/>
        </w:rPr>
        <w:t>不长于3个日历天，</w:t>
      </w:r>
      <w:r>
        <w:rPr>
          <w:rFonts w:hint="eastAsia" w:ascii="宋体" w:hAnsi="宋体" w:eastAsia="宋体" w:cs="宋体"/>
          <w:color w:val="auto"/>
          <w:sz w:val="24"/>
          <w:szCs w:val="24"/>
          <w:highlight w:val="none"/>
          <w:lang w:eastAsia="zh-CN"/>
        </w:rPr>
        <w:t>数量不小于</w:t>
      </w:r>
      <w:r>
        <w:rPr>
          <w:rFonts w:hint="eastAsia" w:ascii="宋体" w:hAnsi="宋体" w:cs="宋体"/>
          <w:color w:val="auto"/>
          <w:sz w:val="24"/>
          <w:szCs w:val="24"/>
          <w:highlight w:val="none"/>
          <w:lang w:eastAsia="zh-CN"/>
        </w:rPr>
        <w:t>总数量的</w:t>
      </w:r>
      <w:r>
        <w:rPr>
          <w:rFonts w:hint="eastAsia" w:ascii="宋体" w:hAnsi="宋体" w:eastAsia="宋体" w:cs="宋体"/>
          <w:color w:val="auto"/>
          <w:sz w:val="24"/>
          <w:szCs w:val="24"/>
          <w:highlight w:val="none"/>
          <w:lang w:val="en-US" w:eastAsia="zh-CN"/>
        </w:rPr>
        <w:t>50%，所有产品</w:t>
      </w:r>
      <w:r>
        <w:rPr>
          <w:rFonts w:hint="eastAsia" w:ascii="宋体" w:hAnsi="宋体" w:cs="宋体"/>
          <w:color w:val="auto"/>
          <w:sz w:val="24"/>
          <w:szCs w:val="24"/>
          <w:highlight w:val="none"/>
          <w:lang w:val="en-US" w:eastAsia="zh-CN"/>
        </w:rPr>
        <w:t>备货</w:t>
      </w:r>
      <w:r>
        <w:rPr>
          <w:rFonts w:hint="eastAsia" w:ascii="宋体" w:hAnsi="宋体" w:eastAsia="宋体" w:cs="宋体"/>
          <w:color w:val="auto"/>
          <w:sz w:val="24"/>
          <w:szCs w:val="24"/>
          <w:highlight w:val="none"/>
          <w:lang w:val="en-US" w:eastAsia="zh-CN"/>
        </w:rPr>
        <w:t>时间</w:t>
      </w:r>
      <w:r>
        <w:rPr>
          <w:rFonts w:hint="eastAsia" w:ascii="宋体" w:hAnsi="宋体" w:cs="宋体"/>
          <w:color w:val="auto"/>
          <w:sz w:val="24"/>
          <w:szCs w:val="24"/>
          <w:highlight w:val="none"/>
          <w:lang w:eastAsia="zh-CN"/>
        </w:rPr>
        <w:t>距开标时间</w:t>
      </w:r>
      <w:r>
        <w:rPr>
          <w:rFonts w:hint="eastAsia" w:ascii="宋体" w:hAnsi="宋体" w:eastAsia="宋体" w:cs="宋体"/>
          <w:color w:val="auto"/>
          <w:sz w:val="24"/>
          <w:szCs w:val="24"/>
          <w:highlight w:val="none"/>
          <w:lang w:val="en-US" w:eastAsia="zh-CN"/>
        </w:rPr>
        <w:t>不长于10个日历天。所有产品</w:t>
      </w:r>
      <w:r>
        <w:rPr>
          <w:rFonts w:hint="eastAsia" w:ascii="宋体" w:hAnsi="宋体" w:cs="宋体"/>
          <w:color w:val="auto"/>
          <w:sz w:val="24"/>
          <w:szCs w:val="24"/>
          <w:highlight w:val="none"/>
          <w:lang w:val="en-US" w:eastAsia="zh-CN"/>
        </w:rPr>
        <w:t>完成备货并由</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lang w:eastAsia="zh-CN"/>
        </w:rPr>
        <w:t>检查验收</w:t>
      </w:r>
      <w:r>
        <w:rPr>
          <w:rFonts w:hint="eastAsia" w:ascii="宋体" w:hAnsi="宋体" w:cs="宋体"/>
          <w:color w:val="auto"/>
          <w:sz w:val="24"/>
          <w:szCs w:val="24"/>
          <w:highlight w:val="none"/>
          <w:lang w:eastAsia="zh-CN"/>
        </w:rPr>
        <w:t>合格后</w:t>
      </w:r>
      <w:r>
        <w:rPr>
          <w:rFonts w:hint="eastAsia" w:ascii="宋体" w:hAnsi="宋体" w:eastAsia="宋体" w:cs="宋体"/>
          <w:color w:val="auto"/>
          <w:sz w:val="24"/>
          <w:szCs w:val="24"/>
          <w:highlight w:val="none"/>
          <w:lang w:eastAsia="zh-CN"/>
        </w:rPr>
        <w:t>代储</w:t>
      </w:r>
      <w:r>
        <w:rPr>
          <w:rFonts w:hint="eastAsia" w:ascii="宋体" w:hAnsi="宋体" w:eastAsia="宋体" w:cs="宋体"/>
          <w:color w:val="auto"/>
          <w:sz w:val="24"/>
          <w:szCs w:val="24"/>
          <w:highlight w:val="none"/>
          <w:lang w:val="en-US" w:eastAsia="zh-CN"/>
        </w:rPr>
        <w:t>30天，期间</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在广东省内任一地</w:t>
      </w:r>
      <w:r>
        <w:rPr>
          <w:rFonts w:hint="eastAsia" w:ascii="宋体" w:hAnsi="宋体" w:cs="宋体"/>
          <w:color w:val="auto"/>
          <w:sz w:val="24"/>
          <w:szCs w:val="24"/>
          <w:highlight w:val="none"/>
          <w:lang w:val="en-US" w:eastAsia="zh-CN"/>
        </w:rPr>
        <w:t>点</w:t>
      </w:r>
      <w:r>
        <w:rPr>
          <w:rFonts w:hint="eastAsia" w:ascii="宋体" w:hAnsi="宋体" w:eastAsia="宋体" w:cs="宋体"/>
          <w:color w:val="auto"/>
          <w:sz w:val="24"/>
          <w:szCs w:val="24"/>
          <w:highlight w:val="none"/>
          <w:lang w:val="en-US" w:eastAsia="zh-CN"/>
        </w:rPr>
        <w:t>有供货需求，中标方应及时响应</w:t>
      </w:r>
      <w:r>
        <w:rPr>
          <w:rFonts w:hint="eastAsia" w:ascii="宋体" w:hAnsi="宋体" w:cs="宋体"/>
          <w:color w:val="auto"/>
          <w:sz w:val="24"/>
          <w:szCs w:val="24"/>
          <w:highlight w:val="none"/>
          <w:lang w:val="en-US" w:eastAsia="zh-CN"/>
        </w:rPr>
        <w:t>。考虑到疫情响应要求高，代储时段内每次首轮响应完成时间应在4~6小时以内，响应不及时将被视为违约</w:t>
      </w:r>
      <w:r>
        <w:rPr>
          <w:rFonts w:hint="eastAsia" w:ascii="宋体" w:hAnsi="宋体" w:eastAsia="宋体" w:cs="宋体"/>
          <w:color w:val="auto"/>
          <w:sz w:val="24"/>
          <w:szCs w:val="24"/>
          <w:highlight w:val="none"/>
          <w:lang w:val="en-US" w:eastAsia="zh-CN"/>
        </w:rPr>
        <w:t>。若30天内</w:t>
      </w:r>
      <w:r>
        <w:rPr>
          <w:rFonts w:hint="eastAsia" w:ascii="宋体" w:hAnsi="宋体" w:cs="宋体"/>
          <w:color w:val="auto"/>
          <w:sz w:val="24"/>
          <w:szCs w:val="24"/>
          <w:highlight w:val="none"/>
          <w:lang w:val="en-US" w:eastAsia="zh-CN"/>
        </w:rPr>
        <w:t>产品</w:t>
      </w:r>
      <w:r>
        <w:rPr>
          <w:rFonts w:hint="eastAsia" w:ascii="宋体" w:hAnsi="宋体" w:eastAsia="宋体" w:cs="宋体"/>
          <w:color w:val="auto"/>
          <w:sz w:val="24"/>
          <w:szCs w:val="24"/>
          <w:highlight w:val="none"/>
          <w:lang w:val="en-US" w:eastAsia="zh-CN"/>
        </w:rPr>
        <w:t>未使用或未</w:t>
      </w:r>
      <w:r>
        <w:rPr>
          <w:rFonts w:hint="eastAsia" w:ascii="宋体" w:hAnsi="宋体" w:cs="宋体"/>
          <w:color w:val="auto"/>
          <w:sz w:val="24"/>
          <w:szCs w:val="24"/>
          <w:highlight w:val="none"/>
          <w:lang w:val="en-US" w:eastAsia="zh-CN"/>
        </w:rPr>
        <w:t>全部</w:t>
      </w:r>
      <w:r>
        <w:rPr>
          <w:rFonts w:hint="eastAsia" w:ascii="宋体" w:hAnsi="宋体" w:eastAsia="宋体" w:cs="宋体"/>
          <w:color w:val="auto"/>
          <w:sz w:val="24"/>
          <w:szCs w:val="24"/>
          <w:highlight w:val="none"/>
          <w:lang w:val="en-US" w:eastAsia="zh-CN"/>
        </w:rPr>
        <w:t>使用，中标方应按</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要求在</w:t>
      </w:r>
      <w:r>
        <w:rPr>
          <w:rFonts w:hint="eastAsia" w:ascii="宋体" w:hAnsi="宋体" w:cs="宋体"/>
          <w:color w:val="auto"/>
          <w:sz w:val="24"/>
          <w:szCs w:val="24"/>
          <w:highlight w:val="none"/>
          <w:lang w:val="en-US" w:eastAsia="zh-CN"/>
        </w:rPr>
        <w:t>代储30天</w:t>
      </w:r>
      <w:r>
        <w:rPr>
          <w:rFonts w:hint="eastAsia" w:ascii="宋体" w:hAnsi="宋体" w:eastAsia="宋体" w:cs="宋体"/>
          <w:color w:val="auto"/>
          <w:sz w:val="24"/>
          <w:szCs w:val="24"/>
          <w:highlight w:val="none"/>
          <w:lang w:val="en-US" w:eastAsia="zh-CN"/>
        </w:rPr>
        <w:t>期满后7</w:t>
      </w:r>
      <w:r>
        <w:rPr>
          <w:rFonts w:hint="eastAsia" w:ascii="宋体" w:hAnsi="宋体" w:cs="宋体"/>
          <w:color w:val="auto"/>
          <w:sz w:val="24"/>
          <w:szCs w:val="24"/>
          <w:highlight w:val="none"/>
          <w:lang w:val="en-US" w:eastAsia="zh-CN"/>
        </w:rPr>
        <w:t>个日历天</w:t>
      </w:r>
      <w:r>
        <w:rPr>
          <w:rFonts w:hint="eastAsia" w:ascii="宋体" w:hAnsi="宋体" w:eastAsia="宋体" w:cs="宋体"/>
          <w:color w:val="auto"/>
          <w:sz w:val="24"/>
          <w:szCs w:val="24"/>
          <w:highlight w:val="none"/>
          <w:lang w:val="en-US" w:eastAsia="zh-CN"/>
        </w:rPr>
        <w:t>内送达</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lang w:val="en-US" w:eastAsia="zh-CN"/>
        </w:rPr>
        <w:t>指定仓库。</w:t>
      </w:r>
    </w:p>
    <w:p>
      <w:pPr>
        <w:spacing w:line="360" w:lineRule="auto"/>
        <w:ind w:firstLine="480" w:firstLineChars="200"/>
        <w:rPr>
          <w:rFonts w:hint="eastAsia" w:ascii="宋体" w:hAnsi="宋体"/>
          <w:sz w:val="24"/>
          <w:szCs w:val="21"/>
          <w:highlight w:val="none"/>
        </w:rPr>
      </w:pPr>
      <w:r>
        <w:rPr>
          <w:rFonts w:hint="eastAsia" w:ascii="宋体" w:hAnsi="宋体"/>
          <w:sz w:val="24"/>
          <w:szCs w:val="21"/>
          <w:highlight w:val="none"/>
        </w:rPr>
        <w:t>2.交货地点：采购人指定地点。</w:t>
      </w:r>
    </w:p>
    <w:p>
      <w:pPr>
        <w:spacing w:line="360" w:lineRule="auto"/>
        <w:ind w:firstLine="482" w:firstLineChars="200"/>
        <w:rPr>
          <w:rFonts w:ascii="宋体" w:hAnsi="宋体"/>
          <w:b/>
          <w:sz w:val="24"/>
          <w:szCs w:val="24"/>
          <w:highlight w:val="none"/>
        </w:rPr>
      </w:pPr>
      <w:r>
        <w:rPr>
          <w:rFonts w:hint="eastAsia" w:ascii="宋体" w:hAnsi="宋体"/>
          <w:b/>
          <w:sz w:val="24"/>
          <w:szCs w:val="24"/>
          <w:highlight w:val="none"/>
        </w:rPr>
        <w:t>（二）付款方式：</w:t>
      </w:r>
    </w:p>
    <w:p>
      <w:pPr>
        <w:pStyle w:val="16"/>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1.货物全部验收合格后，中标标凭有效验收合格证明和等额、合法、有效的发票向采购人申请支付货物价款，采购人在5个工作日内审核有关材料，并在审核无误后10个工作日内一次性支付合同总金额。</w:t>
      </w:r>
    </w:p>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w:t>
      </w:r>
      <w:r>
        <w:rPr>
          <w:rFonts w:hint="default"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中标人未按约定提交发票或验收合格证明的，采购人有权顺延付款而不视为违约，中标人不得以此为由拒绝履行合同义务。</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cs="Times New Roman"/>
          <w:sz w:val="24"/>
          <w:szCs w:val="21"/>
          <w:highlight w:val="none"/>
          <w:lang w:val="en-US" w:eastAsia="zh-CN" w:bidi="ar-SA"/>
        </w:rPr>
        <w:t>3.由于本项目资金来源为财政性资金，须执行相关程序，故上述约定时间为采购人完成向财政部门申请支付的手续时间，采购</w:t>
      </w:r>
      <w:r>
        <w:rPr>
          <w:rFonts w:hint="eastAsia" w:ascii="宋体" w:hAnsi="宋体" w:eastAsia="宋体"/>
          <w:sz w:val="24"/>
          <w:szCs w:val="21"/>
          <w:highlight w:val="none"/>
        </w:rPr>
        <w:t>人仅负责在上述约定时间内完成申请支付的手续，实际付款到账时间及金额以财政拨付的时间及金额为准，采购人无需承担由此产生的迟延支付责任。</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（三）验收</w:t>
      </w:r>
    </w:p>
    <w:p>
      <w:pPr>
        <w:spacing w:line="360" w:lineRule="auto"/>
        <w:ind w:firstLine="480" w:firstLineChars="200"/>
        <w:rPr>
          <w:rFonts w:hint="eastAsia" w:ascii="宋体" w:hAnsi="宋体" w:eastAsia="宋体"/>
          <w:color w:val="auto"/>
          <w:sz w:val="24"/>
          <w:szCs w:val="21"/>
          <w:highlight w:val="none"/>
        </w:rPr>
      </w:pPr>
      <w:r>
        <w:rPr>
          <w:rFonts w:hint="eastAsia" w:ascii="宋体" w:hAnsi="宋体" w:eastAsia="宋体"/>
          <w:color w:val="auto"/>
          <w:sz w:val="24"/>
          <w:szCs w:val="21"/>
          <w:highlight w:val="none"/>
        </w:rPr>
        <w:t>1.货物交货后，收到中标人申请7日内由双方共同组织验收，均抽取样品委托第三方机构进行检验。</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2.验收时如发现所交付的货物有短装、次品、损坏或其它不符合本合同规定之情形者，应做出详尽的现场记录，或由双方签署备忘录。此现场记录或备忘录可用作补充、缺失和更换损坏部件的有效证据。由此产生的有关费用由中标人承担。</w:t>
      </w:r>
    </w:p>
    <w:p>
      <w:pPr>
        <w:spacing w:line="360" w:lineRule="auto"/>
        <w:ind w:firstLine="240" w:firstLineChars="100"/>
        <w:rPr>
          <w:rFonts w:hint="eastAsia" w:ascii="宋体" w:hAnsi="宋体" w:eastAsia="宋体"/>
          <w:sz w:val="24"/>
          <w:szCs w:val="21"/>
          <w:highlight w:val="none"/>
        </w:rPr>
      </w:pPr>
      <w:r>
        <w:rPr>
          <w:rFonts w:hint="eastAsia" w:ascii="宋体" w:hAnsi="宋体" w:eastAsia="宋体"/>
          <w:sz w:val="24"/>
          <w:szCs w:val="21"/>
          <w:highlight w:val="none"/>
        </w:rPr>
        <w:t>★3.检验标准：如任何一次抽检货物中有一件货物不合格，则视为本次抽检不合格。首次检验不合格，中标人有权在收到采购人书面通知后三日内以书面形式提出复检请求，经采购人同意后，由中标人选择国家认可的第三方检验机构，抽取同样比例样品进行检验，检验项目须与首检项目一致，因此而产生的费用及复检所损耗的货物均由中标人承担。中标人未在约定日期内提出复检请求的，采购人有权自行决定进行复检。复检不合格的，采购人有权终止并解除本合同，中标人自收到解除合同及退货指令后10个工作日内运回货物，并退还采购人全部预付款，所有损失均由中标人承担。每一批次货物最多进行一次复检，中标人在首次检验不合格并退换货物后所进行的抽检，视为复检。</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4.如果合同货物运输和安装调试过程中因事故造成货物短缺、损坏，中标人应及时安排换货，以保证合同货物成功完整交付。换货的相关费用由乙方承担。</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5.验收过程中，产品经检验合格时，检验费用由采购人承担；产品经检验不合格时，检验费用由中标人承担。</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6.检验所损耗的货物由中标人补充（费用包含在报价中），检测项目与招标文件中《用户需求》中所列之检测项目一致，且质量等级标准应当与投标时通过检测的样品质量等级标准一致。对于未被列入检测范围的项目，并不意味着采购人对货物质量标准的任何豁免，中标人供货仍应当符合采购人招标文件检验方案中列明的检验依据的全部规定及要求。</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Pr>
        <w:spacing w:line="360" w:lineRule="auto"/>
        <w:ind w:firstLine="480" w:firstLineChars="200"/>
        <w:rPr>
          <w:rFonts w:hint="eastAsia" w:ascii="宋体" w:hAnsi="宋体" w:eastAsia="宋体"/>
          <w:sz w:val="24"/>
          <w:szCs w:val="21"/>
          <w:highlight w:val="none"/>
        </w:rPr>
      </w:pPr>
      <w:bookmarkStart w:id="128" w:name="_Toc14704867"/>
      <w:r>
        <w:rPr>
          <w:rFonts w:hint="eastAsia" w:ascii="宋体" w:hAnsi="宋体" w:eastAsia="宋体"/>
          <w:sz w:val="24"/>
          <w:szCs w:val="21"/>
          <w:highlight w:val="none"/>
        </w:rPr>
        <w:t>（四）质保期</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1.质保期为</w:t>
      </w:r>
      <w:r>
        <w:rPr>
          <w:rFonts w:hint="eastAsia" w:ascii="宋体" w:hAnsi="宋体" w:eastAsia="宋体"/>
          <w:sz w:val="24"/>
          <w:szCs w:val="21"/>
          <w:highlight w:val="none"/>
          <w:lang w:val="en-US" w:eastAsia="zh-CN"/>
        </w:rPr>
        <w:t>2</w:t>
      </w:r>
      <w:r>
        <w:rPr>
          <w:rFonts w:hint="eastAsia" w:ascii="宋体" w:hAnsi="宋体" w:eastAsia="宋体"/>
          <w:sz w:val="24"/>
          <w:szCs w:val="21"/>
          <w:highlight w:val="none"/>
        </w:rPr>
        <w:t>年</w:t>
      </w:r>
      <w:r>
        <w:rPr>
          <w:rFonts w:hint="eastAsia" w:ascii="宋体" w:hAnsi="宋体" w:eastAsia="宋体"/>
          <w:sz w:val="24"/>
          <w:szCs w:val="21"/>
          <w:highlight w:val="none"/>
          <w:lang w:eastAsia="zh-CN"/>
        </w:rPr>
        <w:t>，</w:t>
      </w:r>
      <w:r>
        <w:rPr>
          <w:rFonts w:hint="eastAsia" w:ascii="宋体" w:hAnsi="宋体" w:eastAsia="宋体"/>
          <w:sz w:val="24"/>
          <w:szCs w:val="21"/>
          <w:highlight w:val="none"/>
        </w:rPr>
        <w:t>质保期自交付并检验合格之日起算。</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2.质保期内中标人对所供货物实行包修、包换、包退、包维护保养。</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（五）售后服务</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1.中标人在安装产品和保修期内的维修中对采购人的现场管理人员进行培训。</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2.质保期内，所有货物保修服务方式均为中标人上门质保，由此产生的一切费用均由中标人承担。但人为因素、自然因素（如火灾、雷击等）造成的故障除外。</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3.质保期内，对采购人的服务需求，中标人在接报后1小时内响应，4小时内到达现场，48小时内处理完毕。若在48小时内仍未能有效解决，中标人须提供同档次的货物予采购人临时使用（费用包含在报价中）。</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4.质保期内，若因非操作不当引起的故障，中标人应无偿维修；维修不能解决的，无条件更换；若因采购人操作不当引起的故障，中标人可合理地收取维修费。质保期内，中标人对采购人提出的维修通知后不按规定的时间进行维修的，采购人有权委托其他维修单位进行维修，所需费用由中标人承担。</w:t>
      </w:r>
    </w:p>
    <w:p>
      <w:pPr>
        <w:spacing w:line="360" w:lineRule="auto"/>
        <w:ind w:firstLine="480" w:firstLineChars="200"/>
        <w:rPr>
          <w:rFonts w:hint="eastAsia" w:ascii="宋体" w:hAnsi="宋体" w:eastAsia="宋体"/>
          <w:sz w:val="24"/>
          <w:szCs w:val="21"/>
          <w:highlight w:val="none"/>
        </w:rPr>
      </w:pPr>
      <w:r>
        <w:rPr>
          <w:rFonts w:hint="eastAsia" w:ascii="宋体" w:hAnsi="宋体" w:eastAsia="宋体"/>
          <w:sz w:val="24"/>
          <w:szCs w:val="21"/>
          <w:highlight w:val="none"/>
        </w:rPr>
        <w:t>5.质保期满后，中标人应继续提供完善而优惠的售后服务，提供配件应不高于市场价格，并在接到采购人通知后4小时内响应，24 小时内将配件寄出。</w:t>
      </w:r>
    </w:p>
    <w:p>
      <w:pPr>
        <w:pStyle w:val="2"/>
        <w:spacing w:before="200" w:after="200" w:line="360" w:lineRule="auto"/>
        <w:jc w:val="both"/>
        <w:rPr>
          <w:rFonts w:hint="eastAsia" w:ascii="宋体" w:hAnsi="宋体" w:cs="Times New Roman"/>
          <w:color w:val="000000" w:themeColor="text1"/>
          <w:sz w:val="32"/>
          <w:szCs w:val="30"/>
          <w:highlight w:val="none"/>
          <w14:textFill>
            <w14:solidFill>
              <w14:schemeClr w14:val="tx1"/>
            </w14:solidFill>
          </w14:textFill>
        </w:rPr>
      </w:pPr>
      <w:bookmarkStart w:id="129" w:name="_Toc19989"/>
    </w:p>
    <w:p>
      <w:pPr>
        <w:rPr>
          <w:rFonts w:hint="eastAsia" w:ascii="宋体" w:hAnsi="宋体" w:cs="Times New Roman"/>
          <w:color w:val="000000" w:themeColor="text1"/>
          <w:sz w:val="32"/>
          <w:szCs w:val="30"/>
          <w:highlight w:val="none"/>
          <w14:textFill>
            <w14:solidFill>
              <w14:schemeClr w14:val="tx1"/>
            </w14:solidFill>
          </w14:textFill>
        </w:rPr>
      </w:pPr>
    </w:p>
    <w:p>
      <w:pPr>
        <w:rPr>
          <w:rFonts w:hint="eastAsia" w:ascii="宋体" w:hAnsi="宋体" w:cs="Times New Roman"/>
          <w:color w:val="000000" w:themeColor="text1"/>
          <w:sz w:val="32"/>
          <w:szCs w:val="30"/>
          <w:highlight w:val="none"/>
          <w14:textFill>
            <w14:solidFill>
              <w14:schemeClr w14:val="tx1"/>
            </w14:solidFill>
          </w14:textFill>
        </w:rPr>
      </w:pPr>
    </w:p>
    <w:p>
      <w:pPr>
        <w:rPr>
          <w:rFonts w:hint="eastAsia" w:ascii="宋体" w:hAnsi="宋体" w:cs="Times New Roman"/>
          <w:color w:val="000000" w:themeColor="text1"/>
          <w:sz w:val="32"/>
          <w:szCs w:val="30"/>
          <w:highlight w:val="none"/>
          <w14:textFill>
            <w14:solidFill>
              <w14:schemeClr w14:val="tx1"/>
            </w14:solidFill>
          </w14:textFill>
        </w:rPr>
      </w:pPr>
    </w:p>
    <w:p>
      <w:pPr>
        <w:rPr>
          <w:rFonts w:hint="eastAsia" w:ascii="宋体" w:hAnsi="宋体" w:cs="Times New Roman"/>
          <w:color w:val="000000" w:themeColor="text1"/>
          <w:sz w:val="32"/>
          <w:szCs w:val="30"/>
          <w:highlight w:val="none"/>
          <w14:textFill>
            <w14:solidFill>
              <w14:schemeClr w14:val="tx1"/>
            </w14:solidFill>
          </w14:textFill>
        </w:rPr>
      </w:pPr>
    </w:p>
    <w:p>
      <w:pPr>
        <w:rPr>
          <w:rFonts w:hint="eastAsia" w:ascii="宋体" w:hAnsi="宋体" w:cs="Times New Roman"/>
          <w:color w:val="000000" w:themeColor="text1"/>
          <w:sz w:val="32"/>
          <w:szCs w:val="30"/>
          <w:highlight w:val="none"/>
          <w14:textFill>
            <w14:solidFill>
              <w14:schemeClr w14:val="tx1"/>
            </w14:solidFill>
          </w14:textFill>
        </w:rPr>
      </w:pPr>
    </w:p>
    <w:p>
      <w:pPr>
        <w:pStyle w:val="2"/>
        <w:spacing w:before="200" w:after="200" w:line="360" w:lineRule="auto"/>
        <w:jc w:val="center"/>
        <w:rPr>
          <w:rFonts w:hint="eastAsia" w:ascii="宋体" w:hAnsi="宋体" w:cs="Times New Roman"/>
          <w:color w:val="000000" w:themeColor="text1"/>
          <w:sz w:val="32"/>
          <w:szCs w:val="30"/>
          <w:highlight w:val="none"/>
          <w14:textFill>
            <w14:solidFill>
              <w14:schemeClr w14:val="tx1"/>
            </w14:solidFill>
          </w14:textFill>
        </w:rPr>
      </w:pPr>
    </w:p>
    <w:p>
      <w:pPr>
        <w:rPr>
          <w:rFonts w:hint="eastAsia" w:ascii="宋体" w:hAnsi="宋体" w:cs="Times New Roman"/>
          <w:color w:val="000000" w:themeColor="text1"/>
          <w:sz w:val="32"/>
          <w:szCs w:val="30"/>
          <w:highlight w:val="none"/>
          <w14:textFill>
            <w14:solidFill>
              <w14:schemeClr w14:val="tx1"/>
            </w14:solidFill>
          </w14:textFill>
        </w:rPr>
      </w:pPr>
      <w:r>
        <w:rPr>
          <w:rFonts w:hint="eastAsia" w:ascii="宋体" w:hAnsi="宋体" w:cs="Times New Roman"/>
          <w:color w:val="000000" w:themeColor="text1"/>
          <w:sz w:val="32"/>
          <w:szCs w:val="30"/>
          <w:highlight w:val="none"/>
          <w14:textFill>
            <w14:solidFill>
              <w14:schemeClr w14:val="tx1"/>
            </w14:solidFill>
          </w14:textFill>
        </w:rPr>
        <w:br w:type="page"/>
      </w:r>
    </w:p>
    <w:p>
      <w:pPr>
        <w:pStyle w:val="2"/>
        <w:spacing w:before="200" w:after="200" w:line="360" w:lineRule="auto"/>
        <w:jc w:val="center"/>
        <w:rPr>
          <w:rFonts w:hint="eastAsia" w:ascii="宋体" w:hAnsi="宋体" w:cs="Times New Roman"/>
          <w:color w:val="000000" w:themeColor="text1"/>
          <w:sz w:val="32"/>
          <w:szCs w:val="30"/>
          <w:highlight w:val="none"/>
          <w14:textFill>
            <w14:solidFill>
              <w14:schemeClr w14:val="tx1"/>
            </w14:solidFill>
          </w14:textFill>
        </w:rPr>
      </w:pPr>
      <w:r>
        <w:rPr>
          <w:rFonts w:hint="eastAsia" w:ascii="宋体" w:hAnsi="宋体" w:cs="Times New Roman"/>
          <w:color w:val="000000" w:themeColor="text1"/>
          <w:sz w:val="32"/>
          <w:szCs w:val="30"/>
          <w:highlight w:val="none"/>
          <w14:textFill>
            <w14:solidFill>
              <w14:schemeClr w14:val="tx1"/>
            </w14:solidFill>
          </w14:textFill>
        </w:rPr>
        <w:t>第三章 合同格式</w:t>
      </w:r>
      <w:bookmarkEnd w:id="128"/>
      <w:bookmarkEnd w:id="129"/>
    </w:p>
    <w:p>
      <w:pPr>
        <w:spacing w:line="360" w:lineRule="auto"/>
        <w:ind w:firstLine="480" w:firstLineChars="200"/>
        <w:jc w:val="center"/>
        <w:rPr>
          <w:rFonts w:ascii="宋体" w:hAnsi="宋体" w:cs="宋体"/>
          <w:bCs/>
          <w:color w:val="000000"/>
          <w:sz w:val="24"/>
          <w:szCs w:val="24"/>
          <w:highlight w:val="none"/>
        </w:rPr>
      </w:pPr>
      <w:r>
        <w:rPr>
          <w:rFonts w:hint="eastAsia" w:ascii="宋体" w:hAnsi="宋体" w:cs="宋体"/>
          <w:bCs/>
          <w:color w:val="000000"/>
          <w:sz w:val="24"/>
          <w:szCs w:val="24"/>
          <w:highlight w:val="none"/>
        </w:rPr>
        <w:t>（本合同格式仅供参考，具体内容以最终签署的合同为准）</w:t>
      </w:r>
    </w:p>
    <w:p>
      <w:pPr>
        <w:spacing w:line="440" w:lineRule="exact"/>
        <w:jc w:val="center"/>
        <w:rPr>
          <w:rFonts w:ascii="仿宋_GB2312" w:hAnsi="宋体" w:eastAsia="仿宋_GB2312" w:cs="Arial"/>
          <w:b/>
          <w:bCs/>
          <w:sz w:val="24"/>
          <w:szCs w:val="24"/>
          <w:highlight w:val="none"/>
        </w:rPr>
      </w:pPr>
    </w:p>
    <w:p>
      <w:pPr>
        <w:jc w:val="center"/>
        <w:rPr>
          <w:rFonts w:ascii="仿宋_GB2312" w:hAnsi="宋体" w:eastAsia="仿宋_GB2312" w:cs="方正小标宋_GBK"/>
          <w:b/>
          <w:bCs/>
          <w:color w:val="000000"/>
          <w:kern w:val="44"/>
          <w:sz w:val="24"/>
          <w:szCs w:val="24"/>
          <w:highlight w:val="none"/>
        </w:rPr>
      </w:pPr>
    </w:p>
    <w:p>
      <w:pPr>
        <w:rPr>
          <w:rFonts w:ascii="仿宋_GB2312" w:hAnsi="宋体" w:eastAsia="仿宋_GB2312" w:cs="方正小标宋_GBK"/>
          <w:b/>
          <w:bCs/>
          <w:color w:val="000000"/>
          <w:kern w:val="44"/>
          <w:sz w:val="24"/>
          <w:szCs w:val="24"/>
          <w:highlight w:val="none"/>
        </w:rPr>
      </w:pPr>
    </w:p>
    <w:p>
      <w:pPr>
        <w:rPr>
          <w:rFonts w:ascii="仿宋_GB2312" w:hAnsi="宋体" w:eastAsia="仿宋_GB2312" w:cs="方正小标宋_GBK"/>
          <w:b/>
          <w:bCs/>
          <w:color w:val="000000"/>
          <w:kern w:val="44"/>
          <w:sz w:val="24"/>
          <w:szCs w:val="24"/>
          <w:highlight w:val="none"/>
        </w:rPr>
      </w:pPr>
    </w:p>
    <w:p>
      <w:pPr>
        <w:rPr>
          <w:rFonts w:ascii="宋体" w:hAnsi="宋体" w:cs="宋体"/>
          <w:b/>
          <w:bCs/>
          <w:color w:val="000000"/>
          <w:kern w:val="44"/>
          <w:sz w:val="30"/>
          <w:szCs w:val="30"/>
          <w:highlight w:val="none"/>
        </w:rPr>
      </w:pPr>
    </w:p>
    <w:p>
      <w:pPr>
        <w:jc w:val="center"/>
        <w:rPr>
          <w:rFonts w:ascii="宋体" w:hAnsi="宋体" w:cs="宋体"/>
          <w:b/>
          <w:bCs/>
          <w:color w:val="000000"/>
          <w:kern w:val="44"/>
          <w:sz w:val="30"/>
          <w:szCs w:val="30"/>
          <w:highlight w:val="none"/>
        </w:rPr>
      </w:pPr>
      <w:r>
        <w:rPr>
          <w:rFonts w:hint="eastAsia" w:ascii="宋体" w:hAnsi="宋体" w:cs="宋体"/>
          <w:b/>
          <w:bCs/>
          <w:color w:val="000000"/>
          <w:kern w:val="44"/>
          <w:sz w:val="30"/>
          <w:szCs w:val="30"/>
          <w:highlight w:val="none"/>
        </w:rPr>
        <w:t>采购合同</w:t>
      </w:r>
    </w:p>
    <w:p>
      <w:pPr>
        <w:rPr>
          <w:rFonts w:ascii="宋体" w:hAnsi="宋体" w:cs="宋体"/>
          <w:b/>
          <w:bCs/>
          <w:color w:val="000000"/>
          <w:kern w:val="44"/>
          <w:sz w:val="24"/>
          <w:szCs w:val="24"/>
          <w:highlight w:val="none"/>
        </w:rPr>
      </w:pPr>
    </w:p>
    <w:p>
      <w:pPr>
        <w:rPr>
          <w:rFonts w:ascii="宋体" w:hAnsi="宋体" w:cs="宋体"/>
          <w:b/>
          <w:bCs/>
          <w:color w:val="000000"/>
          <w:kern w:val="44"/>
          <w:sz w:val="24"/>
          <w:szCs w:val="24"/>
          <w:highlight w:val="none"/>
        </w:rPr>
      </w:pPr>
    </w:p>
    <w:p>
      <w:pPr>
        <w:rPr>
          <w:rFonts w:ascii="宋体" w:hAnsi="宋体" w:cs="宋体"/>
          <w:b/>
          <w:bCs/>
          <w:color w:val="000000"/>
          <w:kern w:val="44"/>
          <w:sz w:val="24"/>
          <w:szCs w:val="24"/>
          <w:highlight w:val="none"/>
        </w:rPr>
      </w:pPr>
    </w:p>
    <w:p>
      <w:pPr>
        <w:jc w:val="center"/>
        <w:rPr>
          <w:rFonts w:ascii="宋体" w:hAnsi="宋体" w:cs="宋体"/>
          <w:b/>
          <w:bCs/>
          <w:color w:val="000000"/>
          <w:kern w:val="44"/>
          <w:sz w:val="24"/>
          <w:szCs w:val="24"/>
          <w:highlight w:val="none"/>
        </w:rPr>
      </w:pPr>
      <w:r>
        <w:rPr>
          <w:rFonts w:hint="eastAsia" w:ascii="宋体" w:hAnsi="宋体" w:cs="宋体"/>
          <w:b/>
          <w:bCs/>
          <w:color w:val="000000"/>
          <w:kern w:val="44"/>
          <w:sz w:val="24"/>
          <w:szCs w:val="24"/>
          <w:highlight w:val="none"/>
        </w:rPr>
        <w:t>项目编号：</w:t>
      </w:r>
    </w:p>
    <w:p>
      <w:pPr>
        <w:jc w:val="center"/>
        <w:rPr>
          <w:rFonts w:ascii="宋体" w:hAnsi="宋体" w:cs="宋体"/>
          <w:b/>
          <w:bCs/>
          <w:color w:val="000000"/>
          <w:kern w:val="44"/>
          <w:sz w:val="24"/>
          <w:szCs w:val="24"/>
          <w:highlight w:val="none"/>
        </w:rPr>
      </w:pPr>
    </w:p>
    <w:p>
      <w:pPr>
        <w:jc w:val="center"/>
        <w:rPr>
          <w:rFonts w:ascii="宋体" w:hAnsi="宋体" w:cs="宋体"/>
          <w:b/>
          <w:bCs/>
          <w:color w:val="000000"/>
          <w:kern w:val="44"/>
          <w:sz w:val="24"/>
          <w:szCs w:val="24"/>
          <w:highlight w:val="none"/>
        </w:rPr>
      </w:pPr>
      <w:r>
        <w:rPr>
          <w:rFonts w:hint="eastAsia" w:ascii="宋体" w:hAnsi="宋体" w:cs="宋体"/>
          <w:b/>
          <w:bCs/>
          <w:color w:val="000000"/>
          <w:kern w:val="44"/>
          <w:sz w:val="24"/>
          <w:szCs w:val="24"/>
          <w:highlight w:val="none"/>
        </w:rPr>
        <w:t>项目名称：</w:t>
      </w:r>
    </w:p>
    <w:p>
      <w:pPr>
        <w:rPr>
          <w:rFonts w:ascii="宋体" w:hAnsi="宋体" w:cs="宋体"/>
          <w:b/>
          <w:bCs/>
          <w:color w:val="000000"/>
          <w:kern w:val="44"/>
          <w:sz w:val="24"/>
          <w:szCs w:val="24"/>
          <w:highlight w:val="none"/>
        </w:rPr>
      </w:pPr>
      <w:r>
        <w:rPr>
          <w:rFonts w:hint="eastAsia" w:ascii="宋体" w:hAnsi="宋体" w:cs="宋体"/>
          <w:b/>
          <w:bCs/>
          <w:color w:val="000000"/>
          <w:kern w:val="44"/>
          <w:sz w:val="24"/>
          <w:szCs w:val="24"/>
          <w:highlight w:val="none"/>
        </w:rPr>
        <w:br w:type="page"/>
      </w:r>
    </w:p>
    <w:p>
      <w:pPr>
        <w:snapToGrid w:val="0"/>
        <w:spacing w:line="360" w:lineRule="auto"/>
        <w:ind w:firstLine="482" w:firstLineChars="200"/>
        <w:rPr>
          <w:rFonts w:ascii="宋体" w:hAnsi="宋体"/>
          <w:b/>
          <w:sz w:val="24"/>
          <w:szCs w:val="24"/>
          <w:highlight w:val="none"/>
        </w:rPr>
      </w:pPr>
      <w:r>
        <w:rPr>
          <w:rFonts w:hint="eastAsia" w:ascii="宋体" w:hAnsi="宋体"/>
          <w:b/>
          <w:sz w:val="24"/>
          <w:szCs w:val="24"/>
          <w:highlight w:val="none"/>
        </w:rPr>
        <w:t>甲</w:t>
      </w:r>
      <w:r>
        <w:rPr>
          <w:rFonts w:ascii="宋体" w:hAnsi="宋体"/>
          <w:b/>
          <w:sz w:val="24"/>
          <w:szCs w:val="24"/>
          <w:highlight w:val="none"/>
        </w:rPr>
        <w:t xml:space="preserve">    </w:t>
      </w:r>
      <w:r>
        <w:rPr>
          <w:rFonts w:hint="eastAsia" w:ascii="宋体" w:hAnsi="宋体"/>
          <w:b/>
          <w:sz w:val="24"/>
          <w:szCs w:val="24"/>
          <w:highlight w:val="none"/>
        </w:rPr>
        <w:t>方：</w:t>
      </w:r>
      <w:r>
        <w:rPr>
          <w:rFonts w:hint="eastAsia" w:ascii="宋体" w:hAnsi="宋体"/>
          <w:b/>
          <w:sz w:val="24"/>
          <w:szCs w:val="24"/>
          <w:highlight w:val="none"/>
          <w:u w:val="single"/>
        </w:rPr>
        <w:t>广州市储备粮管理中心</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w:t>
      </w:r>
      <w:r>
        <w:rPr>
          <w:rFonts w:ascii="宋体" w:hAnsi="宋体"/>
          <w:sz w:val="24"/>
          <w:szCs w:val="24"/>
          <w:highlight w:val="none"/>
        </w:rPr>
        <w:t xml:space="preserve"> </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地</w:t>
      </w:r>
      <w:r>
        <w:rPr>
          <w:rFonts w:ascii="宋体" w:hAnsi="宋体"/>
          <w:sz w:val="24"/>
          <w:szCs w:val="24"/>
          <w:highlight w:val="none"/>
        </w:rPr>
        <w:t xml:space="preserve">  </w:t>
      </w:r>
      <w:r>
        <w:rPr>
          <w:rFonts w:hint="eastAsia" w:ascii="宋体" w:hAnsi="宋体"/>
          <w:sz w:val="24"/>
          <w:szCs w:val="24"/>
          <w:highlight w:val="none"/>
        </w:rPr>
        <w:t xml:space="preserve">  址：</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电子邮箱：</w:t>
      </w:r>
    </w:p>
    <w:p>
      <w:pPr>
        <w:snapToGrid w:val="0"/>
        <w:spacing w:line="360" w:lineRule="auto"/>
        <w:ind w:firstLine="480" w:firstLineChars="200"/>
        <w:rPr>
          <w:rFonts w:ascii="宋体" w:hAnsi="宋体"/>
          <w:sz w:val="24"/>
          <w:szCs w:val="24"/>
          <w:highlight w:val="none"/>
        </w:rPr>
      </w:pPr>
    </w:p>
    <w:p>
      <w:pPr>
        <w:snapToGrid w:val="0"/>
        <w:spacing w:line="360" w:lineRule="auto"/>
        <w:ind w:firstLine="482" w:firstLineChars="200"/>
        <w:rPr>
          <w:rFonts w:ascii="宋体" w:hAnsi="宋体"/>
          <w:b/>
          <w:sz w:val="24"/>
          <w:szCs w:val="24"/>
          <w:highlight w:val="none"/>
          <w:u w:val="single"/>
        </w:rPr>
      </w:pPr>
      <w:r>
        <w:rPr>
          <w:rFonts w:hint="eastAsia" w:ascii="宋体" w:hAnsi="宋体"/>
          <w:b/>
          <w:sz w:val="24"/>
          <w:szCs w:val="24"/>
          <w:highlight w:val="none"/>
        </w:rPr>
        <w:t>乙</w:t>
      </w:r>
      <w:r>
        <w:rPr>
          <w:rFonts w:ascii="宋体" w:hAnsi="宋体"/>
          <w:b/>
          <w:sz w:val="24"/>
          <w:szCs w:val="24"/>
          <w:highlight w:val="none"/>
        </w:rPr>
        <w:t xml:space="preserve">    </w:t>
      </w:r>
      <w:r>
        <w:rPr>
          <w:rFonts w:hint="eastAsia" w:ascii="宋体" w:hAnsi="宋体"/>
          <w:b/>
          <w:sz w:val="24"/>
          <w:szCs w:val="24"/>
          <w:highlight w:val="none"/>
        </w:rPr>
        <w:t>方：</w:t>
      </w:r>
      <w:r>
        <w:rPr>
          <w:rFonts w:ascii="宋体" w:hAnsi="宋体"/>
          <w:b/>
          <w:sz w:val="24"/>
          <w:szCs w:val="24"/>
          <w:highlight w:val="none"/>
        </w:rPr>
        <w:t xml:space="preserve"> </w:t>
      </w:r>
      <w:r>
        <w:rPr>
          <w:rFonts w:hint="eastAsia" w:ascii="宋体" w:hAnsi="宋体"/>
          <w:b/>
          <w:sz w:val="24"/>
          <w:szCs w:val="24"/>
          <w:highlight w:val="none"/>
        </w:rPr>
        <w:t xml:space="preserve">                     </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话：</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地</w:t>
      </w:r>
      <w:r>
        <w:rPr>
          <w:rFonts w:ascii="宋体" w:hAnsi="宋体"/>
          <w:sz w:val="24"/>
          <w:szCs w:val="24"/>
          <w:highlight w:val="none"/>
        </w:rPr>
        <w:t xml:space="preserve">  </w:t>
      </w:r>
      <w:r>
        <w:rPr>
          <w:rFonts w:hint="eastAsia" w:ascii="宋体" w:hAnsi="宋体"/>
          <w:sz w:val="24"/>
          <w:szCs w:val="24"/>
          <w:highlight w:val="none"/>
        </w:rPr>
        <w:t xml:space="preserve">  址：</w:t>
      </w:r>
    </w:p>
    <w:p>
      <w:pPr>
        <w:snapToGrid w:val="0"/>
        <w:spacing w:line="360" w:lineRule="auto"/>
        <w:ind w:firstLine="480" w:firstLineChars="200"/>
        <w:rPr>
          <w:rFonts w:ascii="宋体" w:hAnsi="宋体"/>
          <w:sz w:val="24"/>
          <w:szCs w:val="24"/>
          <w:highlight w:val="none"/>
        </w:rPr>
      </w:pPr>
      <w:r>
        <w:rPr>
          <w:rFonts w:hint="eastAsia" w:ascii="宋体" w:hAnsi="宋体"/>
          <w:sz w:val="24"/>
          <w:szCs w:val="24"/>
          <w:highlight w:val="none"/>
        </w:rPr>
        <w:t>电子邮箱：</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根据《中华人民共和国</w:t>
      </w:r>
      <w:r>
        <w:rPr>
          <w:rFonts w:hint="eastAsia" w:ascii="宋体" w:hAnsi="宋体"/>
          <w:sz w:val="24"/>
          <w:szCs w:val="24"/>
          <w:highlight w:val="none"/>
        </w:rPr>
        <w:t>民法典</w:t>
      </w:r>
      <w:r>
        <w:rPr>
          <w:rFonts w:ascii="宋体" w:hAnsi="宋体"/>
          <w:sz w:val="24"/>
          <w:szCs w:val="24"/>
          <w:highlight w:val="none"/>
        </w:rPr>
        <w:t>》、</w:t>
      </w:r>
      <w:r>
        <w:rPr>
          <w:rFonts w:ascii="宋体" w:hAnsi="宋体" w:eastAsia="宋体" w:cs="Times New Roman"/>
          <w:kern w:val="0"/>
          <w:sz w:val="24"/>
          <w:szCs w:val="24"/>
          <w:highlight w:val="none"/>
        </w:rPr>
        <w:t>《中华人民共和国政府采购法》</w:t>
      </w:r>
      <w:r>
        <w:rPr>
          <w:rFonts w:hint="eastAsia" w:ascii="宋体" w:hAnsi="宋体" w:cs="Times New Roman"/>
          <w:kern w:val="0"/>
          <w:sz w:val="24"/>
          <w:szCs w:val="24"/>
          <w:highlight w:val="none"/>
          <w:lang w:eastAsia="zh-CN"/>
        </w:rPr>
        <w:t>、</w:t>
      </w:r>
      <w:r>
        <w:rPr>
          <w:rFonts w:hint="eastAsia" w:ascii="宋体" w:hAnsi="宋体"/>
          <w:sz w:val="24"/>
          <w:szCs w:val="24"/>
          <w:highlight w:val="none"/>
        </w:rPr>
        <w:t>2022年救灾物资紧急采购项目须知</w:t>
      </w:r>
      <w:r>
        <w:rPr>
          <w:rFonts w:hint="eastAsia" w:ascii="宋体" w:hAnsi="宋体"/>
          <w:color w:val="000000" w:themeColor="text1"/>
          <w:sz w:val="24"/>
          <w:szCs w:val="24"/>
          <w:highlight w:val="none"/>
          <w14:textFill>
            <w14:solidFill>
              <w14:schemeClr w14:val="tx1"/>
            </w14:solidFill>
          </w14:textFill>
        </w:rPr>
        <w:t>采购</w:t>
      </w:r>
      <w:r>
        <w:rPr>
          <w:rFonts w:hint="eastAsia" w:ascii="宋体" w:hAnsi="宋体"/>
          <w:sz w:val="24"/>
          <w:szCs w:val="24"/>
          <w:highlight w:val="none"/>
        </w:rPr>
        <w:t>须知</w:t>
      </w:r>
      <w:r>
        <w:rPr>
          <w:rFonts w:ascii="宋体" w:hAnsi="宋体"/>
          <w:sz w:val="24"/>
          <w:szCs w:val="24"/>
          <w:highlight w:val="none"/>
        </w:rPr>
        <w:t>（</w:t>
      </w:r>
      <w:r>
        <w:rPr>
          <w:rFonts w:hint="eastAsia" w:ascii="宋体" w:hAnsi="宋体"/>
          <w:sz w:val="24"/>
          <w:szCs w:val="24"/>
          <w:highlight w:val="none"/>
        </w:rPr>
        <w:t>项目</w:t>
      </w:r>
      <w:r>
        <w:rPr>
          <w:rFonts w:ascii="宋体" w:hAnsi="宋体"/>
          <w:sz w:val="24"/>
          <w:szCs w:val="24"/>
          <w:highlight w:val="none"/>
        </w:rPr>
        <w:t>编号：</w:t>
      </w:r>
      <w:r>
        <w:rPr>
          <w:rFonts w:hint="eastAsia" w:ascii="宋体" w:hAnsi="宋体"/>
          <w:sz w:val="24"/>
          <w:szCs w:val="24"/>
          <w:highlight w:val="none"/>
        </w:rPr>
        <w:t>GZ2022JZ10002</w:t>
      </w:r>
      <w:r>
        <w:rPr>
          <w:rFonts w:ascii="宋体" w:hAnsi="宋体"/>
          <w:sz w:val="24"/>
          <w:szCs w:val="24"/>
          <w:highlight w:val="none"/>
        </w:rPr>
        <w:t>，采购代理机构：</w:t>
      </w:r>
      <w:r>
        <w:rPr>
          <w:rFonts w:hint="eastAsia" w:ascii="宋体" w:hAnsi="宋体"/>
          <w:sz w:val="24"/>
          <w:szCs w:val="24"/>
          <w:highlight w:val="none"/>
        </w:rPr>
        <w:t>广州农村产权交易所有限公司</w:t>
      </w:r>
      <w:r>
        <w:rPr>
          <w:rFonts w:ascii="宋体" w:hAnsi="宋体"/>
          <w:sz w:val="24"/>
          <w:szCs w:val="24"/>
          <w:highlight w:val="none"/>
        </w:rPr>
        <w:t>）、</w:t>
      </w:r>
      <w:r>
        <w:rPr>
          <w:rFonts w:hint="eastAsia" w:ascii="宋体" w:hAnsi="宋体"/>
          <w:sz w:val="24"/>
          <w:szCs w:val="24"/>
          <w:highlight w:val="none"/>
        </w:rPr>
        <w:t>竞价</w:t>
      </w:r>
      <w:r>
        <w:rPr>
          <w:rFonts w:ascii="宋体" w:hAnsi="宋体"/>
          <w:sz w:val="24"/>
          <w:szCs w:val="24"/>
          <w:highlight w:val="none"/>
        </w:rPr>
        <w:t>文件的要求，经双方协商一致，签订本合同。</w:t>
      </w:r>
    </w:p>
    <w:p>
      <w:pPr>
        <w:snapToGrid w:val="0"/>
        <w:spacing w:line="360" w:lineRule="auto"/>
        <w:ind w:firstLine="482" w:firstLineChars="200"/>
        <w:rPr>
          <w:rFonts w:ascii="宋体" w:hAnsi="宋体"/>
          <w:b/>
          <w:sz w:val="24"/>
          <w:szCs w:val="24"/>
          <w:highlight w:val="none"/>
        </w:rPr>
      </w:pPr>
      <w:r>
        <w:rPr>
          <w:rFonts w:hint="eastAsia" w:ascii="宋体" w:hAnsi="宋体"/>
          <w:b/>
          <w:sz w:val="24"/>
          <w:szCs w:val="24"/>
          <w:highlight w:val="none"/>
        </w:rPr>
        <w:t>一、</w:t>
      </w:r>
      <w:r>
        <w:rPr>
          <w:rFonts w:ascii="宋体" w:hAnsi="宋体"/>
          <w:b/>
          <w:sz w:val="24"/>
          <w:szCs w:val="24"/>
          <w:highlight w:val="none"/>
        </w:rPr>
        <w:t>货物</w:t>
      </w:r>
    </w:p>
    <w:p>
      <w:pPr>
        <w:snapToGrid w:val="0"/>
        <w:spacing w:line="360" w:lineRule="auto"/>
        <w:ind w:firstLine="480" w:firstLineChars="200"/>
        <w:rPr>
          <w:rFonts w:ascii="宋体" w:hAnsi="宋体"/>
          <w:sz w:val="24"/>
          <w:szCs w:val="24"/>
          <w:highlight w:val="none"/>
        </w:rPr>
      </w:pPr>
      <w:r>
        <w:rPr>
          <w:rFonts w:ascii="宋体" w:hAnsi="宋体"/>
          <w:sz w:val="24"/>
          <w:szCs w:val="24"/>
          <w:highlight w:val="none"/>
        </w:rPr>
        <w:t>货物名称、型号、规格、数量及交货时间</w:t>
      </w:r>
    </w:p>
    <w:p>
      <w:pPr>
        <w:snapToGrid w:val="0"/>
        <w:spacing w:line="360" w:lineRule="auto"/>
        <w:ind w:firstLine="480" w:firstLineChars="200"/>
        <w:rPr>
          <w:rFonts w:ascii="宋体" w:hAnsi="宋体"/>
          <w:sz w:val="24"/>
          <w:szCs w:val="24"/>
          <w:highlight w:val="none"/>
        </w:rPr>
      </w:pPr>
    </w:p>
    <w:tbl>
      <w:tblPr>
        <w:tblStyle w:val="38"/>
        <w:tblW w:w="9404" w:type="dxa"/>
        <w:tblInd w:w="112" w:type="dxa"/>
        <w:tblLayout w:type="fixed"/>
        <w:tblCellMar>
          <w:top w:w="0" w:type="dxa"/>
          <w:left w:w="108" w:type="dxa"/>
          <w:bottom w:w="0" w:type="dxa"/>
          <w:right w:w="108" w:type="dxa"/>
        </w:tblCellMar>
      </w:tblPr>
      <w:tblGrid>
        <w:gridCol w:w="854"/>
        <w:gridCol w:w="855"/>
        <w:gridCol w:w="855"/>
        <w:gridCol w:w="855"/>
        <w:gridCol w:w="855"/>
        <w:gridCol w:w="855"/>
        <w:gridCol w:w="855"/>
        <w:gridCol w:w="855"/>
        <w:gridCol w:w="855"/>
        <w:gridCol w:w="855"/>
        <w:gridCol w:w="855"/>
      </w:tblGrid>
      <w:tr>
        <w:tblPrEx>
          <w:tblCellMar>
            <w:top w:w="0" w:type="dxa"/>
            <w:left w:w="108" w:type="dxa"/>
            <w:bottom w:w="0" w:type="dxa"/>
            <w:right w:w="108" w:type="dxa"/>
          </w:tblCellMar>
        </w:tblPrEx>
        <w:trPr>
          <w:trHeight w:val="703" w:hRule="exact"/>
        </w:trPr>
        <w:tc>
          <w:tcPr>
            <w:tcW w:w="854" w:type="dxa"/>
            <w:tcBorders>
              <w:top w:val="single" w:color="000000" w:sz="12" w:space="0"/>
              <w:left w:val="single" w:color="000000" w:sz="12" w:space="0"/>
              <w:bottom w:val="single" w:color="000000" w:sz="6" w:space="0"/>
              <w:right w:val="single" w:color="000000" w:sz="6" w:space="0"/>
            </w:tcBorders>
            <w:vAlign w:val="center"/>
          </w:tcPr>
          <w:p>
            <w:pPr>
              <w:jc w:val="center"/>
              <w:rPr>
                <w:sz w:val="24"/>
                <w:highlight w:val="none"/>
              </w:rPr>
            </w:pPr>
            <w:r>
              <w:rPr>
                <w:sz w:val="24"/>
                <w:highlight w:val="none"/>
              </w:rPr>
              <w:t>货物</w:t>
            </w:r>
          </w:p>
          <w:p>
            <w:pPr>
              <w:jc w:val="center"/>
              <w:rPr>
                <w:sz w:val="24"/>
                <w:highlight w:val="none"/>
              </w:rPr>
            </w:pPr>
            <w:r>
              <w:rPr>
                <w:sz w:val="24"/>
                <w:highlight w:val="none"/>
              </w:rPr>
              <w:t>名称</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规格</w:t>
            </w:r>
          </w:p>
          <w:p>
            <w:pPr>
              <w:jc w:val="center"/>
              <w:rPr>
                <w:sz w:val="24"/>
                <w:highlight w:val="none"/>
              </w:rPr>
            </w:pPr>
            <w:r>
              <w:rPr>
                <w:sz w:val="24"/>
                <w:highlight w:val="none"/>
              </w:rPr>
              <w:t>型号</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生产</w:t>
            </w:r>
          </w:p>
          <w:p>
            <w:pPr>
              <w:jc w:val="center"/>
              <w:rPr>
                <w:sz w:val="24"/>
                <w:highlight w:val="none"/>
              </w:rPr>
            </w:pPr>
            <w:r>
              <w:rPr>
                <w:sz w:val="24"/>
                <w:highlight w:val="none"/>
              </w:rPr>
              <w:t>厂家</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产地</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单位</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数量</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单价</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总价</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随机</w:t>
            </w:r>
          </w:p>
          <w:p>
            <w:pPr>
              <w:jc w:val="center"/>
              <w:rPr>
                <w:sz w:val="24"/>
                <w:highlight w:val="none"/>
              </w:rPr>
            </w:pPr>
            <w:r>
              <w:rPr>
                <w:sz w:val="24"/>
                <w:highlight w:val="none"/>
              </w:rPr>
              <w:t>配件</w:t>
            </w:r>
          </w:p>
        </w:tc>
        <w:tc>
          <w:tcPr>
            <w:tcW w:w="855" w:type="dxa"/>
            <w:tcBorders>
              <w:top w:val="single" w:color="000000" w:sz="12" w:space="0"/>
              <w:left w:val="single" w:color="000000" w:sz="6" w:space="0"/>
              <w:bottom w:val="single" w:color="000000" w:sz="6" w:space="0"/>
              <w:right w:val="single" w:color="000000" w:sz="6" w:space="0"/>
            </w:tcBorders>
            <w:vAlign w:val="center"/>
          </w:tcPr>
          <w:p>
            <w:pPr>
              <w:jc w:val="center"/>
              <w:rPr>
                <w:sz w:val="24"/>
                <w:highlight w:val="none"/>
              </w:rPr>
            </w:pPr>
            <w:r>
              <w:rPr>
                <w:sz w:val="24"/>
                <w:highlight w:val="none"/>
              </w:rPr>
              <w:t>交货</w:t>
            </w:r>
          </w:p>
          <w:p>
            <w:pPr>
              <w:jc w:val="center"/>
              <w:rPr>
                <w:sz w:val="24"/>
                <w:highlight w:val="none"/>
              </w:rPr>
            </w:pPr>
            <w:r>
              <w:rPr>
                <w:sz w:val="24"/>
                <w:highlight w:val="none"/>
              </w:rPr>
              <w:t>地点</w:t>
            </w:r>
          </w:p>
        </w:tc>
        <w:tc>
          <w:tcPr>
            <w:tcW w:w="855" w:type="dxa"/>
            <w:tcBorders>
              <w:top w:val="single" w:color="000000" w:sz="12" w:space="0"/>
              <w:left w:val="single" w:color="000000" w:sz="6" w:space="0"/>
              <w:bottom w:val="single" w:color="000000" w:sz="6" w:space="0"/>
              <w:right w:val="single" w:color="000000" w:sz="12" w:space="0"/>
            </w:tcBorders>
            <w:vAlign w:val="center"/>
          </w:tcPr>
          <w:p>
            <w:pPr>
              <w:jc w:val="center"/>
              <w:rPr>
                <w:sz w:val="24"/>
                <w:highlight w:val="none"/>
              </w:rPr>
            </w:pPr>
            <w:r>
              <w:rPr>
                <w:sz w:val="24"/>
                <w:highlight w:val="none"/>
              </w:rPr>
              <w:t>交货</w:t>
            </w:r>
          </w:p>
          <w:p>
            <w:pPr>
              <w:jc w:val="center"/>
              <w:rPr>
                <w:sz w:val="24"/>
                <w:highlight w:val="none"/>
              </w:rPr>
            </w:pPr>
            <w:r>
              <w:rPr>
                <w:sz w:val="24"/>
                <w:highlight w:val="none"/>
              </w:rPr>
              <w:t>时间</w:t>
            </w:r>
          </w:p>
        </w:tc>
      </w:tr>
      <w:tr>
        <w:tblPrEx>
          <w:tblCellMar>
            <w:top w:w="0" w:type="dxa"/>
            <w:left w:w="108" w:type="dxa"/>
            <w:bottom w:w="0" w:type="dxa"/>
            <w:right w:w="108" w:type="dxa"/>
          </w:tblCellMar>
        </w:tblPrEx>
        <w:trPr>
          <w:trHeight w:val="412" w:hRule="exact"/>
        </w:trPr>
        <w:tc>
          <w:tcPr>
            <w:tcW w:w="854" w:type="dxa"/>
            <w:tcBorders>
              <w:top w:val="single" w:color="000000" w:sz="6" w:space="0"/>
              <w:left w:val="single" w:color="000000" w:sz="12"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6" w:space="0"/>
            </w:tcBorders>
            <w:vAlign w:val="center"/>
          </w:tcPr>
          <w:p>
            <w:pPr>
              <w:jc w:val="center"/>
              <w:rPr>
                <w:sz w:val="24"/>
                <w:highlight w:val="none"/>
              </w:rPr>
            </w:pPr>
          </w:p>
        </w:tc>
        <w:tc>
          <w:tcPr>
            <w:tcW w:w="855" w:type="dxa"/>
            <w:tcBorders>
              <w:top w:val="single" w:color="000000" w:sz="6" w:space="0"/>
              <w:left w:val="single" w:color="000000" w:sz="6" w:space="0"/>
              <w:bottom w:val="single" w:color="000000" w:sz="6" w:space="0"/>
              <w:right w:val="single" w:color="000000" w:sz="12" w:space="0"/>
            </w:tcBorders>
            <w:vAlign w:val="center"/>
          </w:tcPr>
          <w:p>
            <w:pPr>
              <w:jc w:val="center"/>
              <w:rPr>
                <w:sz w:val="24"/>
                <w:highlight w:val="none"/>
              </w:rPr>
            </w:pPr>
          </w:p>
        </w:tc>
      </w:tr>
    </w:tbl>
    <w:p>
      <w:pPr>
        <w:widowControl/>
        <w:numPr>
          <w:ilvl w:val="0"/>
          <w:numId w:val="13"/>
        </w:numPr>
        <w:snapToGrid w:val="0"/>
        <w:spacing w:line="360" w:lineRule="auto"/>
        <w:ind w:firstLine="482" w:firstLineChars="200"/>
        <w:rPr>
          <w:rFonts w:hint="eastAsia" w:ascii="宋体" w:hAnsi="宋体" w:eastAsia="宋体" w:cs="Times New Roman"/>
          <w:b/>
          <w:kern w:val="0"/>
          <w:sz w:val="24"/>
          <w:szCs w:val="24"/>
          <w:highlight w:val="none"/>
          <w:lang w:eastAsia="zh-CN"/>
        </w:rPr>
      </w:pPr>
      <w:r>
        <w:rPr>
          <w:rFonts w:hint="eastAsia" w:ascii="宋体" w:hAnsi="宋体" w:eastAsia="宋体" w:cs="Times New Roman"/>
          <w:b/>
          <w:kern w:val="0"/>
          <w:sz w:val="24"/>
          <w:szCs w:val="24"/>
          <w:highlight w:val="none"/>
          <w:lang w:eastAsia="zh-CN"/>
        </w:rPr>
        <w:t>交货时间和地点</w:t>
      </w:r>
    </w:p>
    <w:p>
      <w:pPr>
        <w:widowControl/>
        <w:numPr>
          <w:ilvl w:val="0"/>
          <w:numId w:val="0"/>
        </w:numPr>
        <w:snapToGrid w:val="0"/>
        <w:spacing w:line="360" w:lineRule="auto"/>
        <w:ind w:left="240" w:leftChars="0" w:firstLine="240" w:firstLineChars="100"/>
        <w:rPr>
          <w:rFonts w:hint="eastAsia" w:ascii="宋体" w:hAnsi="宋体" w:eastAsia="宋体" w:cs="Times New Roman"/>
          <w:kern w:val="0"/>
          <w:sz w:val="24"/>
          <w:szCs w:val="24"/>
          <w:highlight w:val="none"/>
          <w:lang w:val="en-US" w:eastAsia="zh-CN"/>
        </w:rPr>
      </w:pPr>
      <w:r>
        <w:rPr>
          <w:rFonts w:ascii="宋体" w:hAnsi="宋体" w:eastAsia="宋体" w:cs="Times New Roman"/>
          <w:kern w:val="0"/>
          <w:sz w:val="24"/>
          <w:szCs w:val="24"/>
          <w:highlight w:val="none"/>
          <w:lang w:eastAsia="zh-CN"/>
        </w:rPr>
        <w:t>1.</w:t>
      </w:r>
      <w:r>
        <w:rPr>
          <w:rFonts w:hint="eastAsia" w:ascii="宋体" w:hAnsi="宋体" w:eastAsia="宋体" w:cs="Times New Roman"/>
          <w:kern w:val="0"/>
          <w:sz w:val="24"/>
          <w:szCs w:val="24"/>
          <w:highlight w:val="none"/>
          <w:lang w:val="en-US" w:eastAsia="zh-CN"/>
        </w:rPr>
        <w:t>交货时间：至</w:t>
      </w:r>
      <w:r>
        <w:rPr>
          <w:rFonts w:hint="eastAsia" w:ascii="宋体" w:hAnsi="宋体" w:eastAsia="宋体" w:cs="Times New Roman"/>
          <w:kern w:val="0"/>
          <w:sz w:val="24"/>
          <w:szCs w:val="24"/>
          <w:highlight w:val="none"/>
          <w:u w:val="single"/>
          <w:lang w:val="en-US" w:eastAsia="zh-CN"/>
        </w:rPr>
        <w:t xml:space="preserve">     </w:t>
      </w:r>
      <w:r>
        <w:rPr>
          <w:rFonts w:hint="eastAsia" w:ascii="宋体" w:hAnsi="宋体" w:eastAsia="宋体" w:cs="Times New Roman"/>
          <w:kern w:val="0"/>
          <w:sz w:val="24"/>
          <w:szCs w:val="24"/>
          <w:highlight w:val="none"/>
          <w:lang w:val="en-US" w:eastAsia="zh-CN"/>
        </w:rPr>
        <w:t xml:space="preserve"> 年</w:t>
      </w:r>
      <w:r>
        <w:rPr>
          <w:rFonts w:hint="eastAsia" w:ascii="宋体" w:hAnsi="宋体" w:eastAsia="宋体" w:cs="Times New Roman"/>
          <w:kern w:val="0"/>
          <w:sz w:val="24"/>
          <w:szCs w:val="24"/>
          <w:highlight w:val="none"/>
          <w:u w:val="single"/>
          <w:lang w:val="en-US" w:eastAsia="zh-CN"/>
        </w:rPr>
        <w:t xml:space="preserve">    </w:t>
      </w:r>
      <w:r>
        <w:rPr>
          <w:rFonts w:hint="eastAsia" w:ascii="宋体" w:hAnsi="宋体" w:eastAsia="宋体" w:cs="Times New Roman"/>
          <w:kern w:val="0"/>
          <w:sz w:val="24"/>
          <w:szCs w:val="24"/>
          <w:highlight w:val="none"/>
          <w:lang w:val="en-US" w:eastAsia="zh-CN"/>
        </w:rPr>
        <w:t>月</w:t>
      </w:r>
      <w:r>
        <w:rPr>
          <w:rFonts w:hint="eastAsia" w:ascii="宋体" w:hAnsi="宋体" w:eastAsia="宋体" w:cs="Times New Roman"/>
          <w:kern w:val="0"/>
          <w:sz w:val="24"/>
          <w:szCs w:val="24"/>
          <w:highlight w:val="none"/>
          <w:u w:val="single"/>
          <w:lang w:val="en-US" w:eastAsia="zh-CN"/>
        </w:rPr>
        <w:t xml:space="preserve">    </w:t>
      </w:r>
      <w:r>
        <w:rPr>
          <w:rFonts w:hint="eastAsia" w:ascii="宋体" w:hAnsi="宋体" w:eastAsia="宋体" w:cs="Times New Roman"/>
          <w:kern w:val="0"/>
          <w:sz w:val="24"/>
          <w:szCs w:val="24"/>
          <w:highlight w:val="none"/>
          <w:lang w:val="en-US" w:eastAsia="zh-CN"/>
        </w:rPr>
        <w:t xml:space="preserve">日前。 </w:t>
      </w:r>
    </w:p>
    <w:p>
      <w:pPr>
        <w:widowControl/>
        <w:numPr>
          <w:ilvl w:val="0"/>
          <w:numId w:val="0"/>
        </w:numPr>
        <w:snapToGrid w:val="0"/>
        <w:spacing w:line="360" w:lineRule="auto"/>
        <w:ind w:left="240" w:leftChars="0" w:firstLine="240" w:firstLineChars="100"/>
        <w:rPr>
          <w:rFonts w:hint="default" w:ascii="宋体" w:hAnsi="宋体" w:eastAsia="宋体" w:cs="Times New Roman"/>
          <w:b/>
          <w:kern w:val="0"/>
          <w:sz w:val="24"/>
          <w:szCs w:val="24"/>
          <w:highlight w:val="none"/>
          <w:u w:val="none"/>
          <w:lang w:val="en-US"/>
        </w:rPr>
      </w:pPr>
      <w:r>
        <w:rPr>
          <w:rFonts w:hint="eastAsia" w:ascii="宋体" w:hAnsi="宋体" w:eastAsia="宋体" w:cs="Times New Roman"/>
          <w:kern w:val="0"/>
          <w:sz w:val="24"/>
          <w:szCs w:val="24"/>
          <w:highlight w:val="none"/>
          <w:lang w:val="en-US" w:eastAsia="zh-CN"/>
        </w:rPr>
        <w:t>2.交货地点：代储30天后，剩余货运送至甲方指定广州市内仓库：即广州市</w:t>
      </w:r>
      <w:r>
        <w:rPr>
          <w:rFonts w:hint="eastAsia" w:ascii="宋体" w:hAnsi="宋体" w:eastAsia="宋体" w:cs="Times New Roman"/>
          <w:kern w:val="0"/>
          <w:sz w:val="24"/>
          <w:szCs w:val="24"/>
          <w:highlight w:val="none"/>
          <w:u w:val="single"/>
          <w:lang w:val="en-US" w:eastAsia="zh-CN"/>
        </w:rPr>
        <w:t xml:space="preserve">                  </w:t>
      </w:r>
      <w:r>
        <w:rPr>
          <w:rFonts w:hint="eastAsia" w:ascii="宋体" w:hAnsi="宋体" w:eastAsia="宋体" w:cs="Times New Roman"/>
          <w:kern w:val="0"/>
          <w:sz w:val="24"/>
          <w:szCs w:val="24"/>
          <w:highlight w:val="none"/>
          <w:u w:val="none"/>
          <w:lang w:val="en-US" w:eastAsia="zh-CN"/>
        </w:rPr>
        <w:t>。</w:t>
      </w:r>
    </w:p>
    <w:p>
      <w:pPr>
        <w:widowControl/>
        <w:snapToGrid w:val="0"/>
        <w:spacing w:line="360" w:lineRule="auto"/>
        <w:ind w:firstLine="482" w:firstLineChars="200"/>
        <w:rPr>
          <w:rFonts w:ascii="宋体" w:hAnsi="宋体" w:eastAsia="宋体" w:cs="Times New Roman"/>
          <w:b/>
          <w:kern w:val="0"/>
          <w:sz w:val="24"/>
          <w:szCs w:val="24"/>
          <w:highlight w:val="none"/>
        </w:rPr>
      </w:pPr>
      <w:r>
        <w:rPr>
          <w:rFonts w:hint="eastAsia" w:ascii="宋体" w:hAnsi="宋体" w:eastAsia="宋体" w:cs="Times New Roman"/>
          <w:b/>
          <w:kern w:val="0"/>
          <w:sz w:val="24"/>
          <w:szCs w:val="24"/>
          <w:highlight w:val="none"/>
          <w:lang w:eastAsia="zh-CN"/>
        </w:rPr>
        <w:t>三</w:t>
      </w:r>
      <w:r>
        <w:rPr>
          <w:rFonts w:hint="eastAsia" w:ascii="宋体" w:hAnsi="宋体" w:eastAsia="宋体" w:cs="Times New Roman"/>
          <w:b/>
          <w:kern w:val="0"/>
          <w:sz w:val="24"/>
          <w:szCs w:val="24"/>
          <w:highlight w:val="none"/>
        </w:rPr>
        <w:t>、</w:t>
      </w:r>
      <w:r>
        <w:rPr>
          <w:rFonts w:ascii="宋体" w:hAnsi="宋体" w:eastAsia="宋体" w:cs="Times New Roman"/>
          <w:b/>
          <w:kern w:val="0"/>
          <w:sz w:val="24"/>
          <w:szCs w:val="24"/>
          <w:highlight w:val="none"/>
        </w:rPr>
        <w:t>合同总价和支付方式</w:t>
      </w:r>
    </w:p>
    <w:p>
      <w:pPr>
        <w:widowControl/>
        <w:snapToGrid w:val="0"/>
        <w:spacing w:line="360" w:lineRule="auto"/>
        <w:ind w:firstLine="480" w:firstLineChars="200"/>
        <w:rPr>
          <w:rFonts w:ascii="宋体" w:hAnsi="宋体" w:eastAsia="宋体" w:cs="Times New Roman"/>
          <w:kern w:val="0"/>
          <w:sz w:val="24"/>
          <w:szCs w:val="24"/>
          <w:highlight w:val="none"/>
        </w:rPr>
      </w:pPr>
      <w:r>
        <w:rPr>
          <w:rFonts w:hint="eastAsia" w:ascii="宋体" w:hAnsi="宋体" w:eastAsia="宋体" w:cs="Times New Roman"/>
          <w:kern w:val="0"/>
          <w:sz w:val="24"/>
          <w:szCs w:val="24"/>
          <w:highlight w:val="none"/>
        </w:rPr>
        <w:t>（一）</w:t>
      </w:r>
      <w:r>
        <w:rPr>
          <w:rFonts w:ascii="宋体" w:hAnsi="宋体" w:eastAsia="宋体" w:cs="Times New Roman"/>
          <w:kern w:val="0"/>
          <w:sz w:val="24"/>
          <w:szCs w:val="24"/>
          <w:highlight w:val="none"/>
        </w:rPr>
        <w:t>合同总价：总价为人民币（大写）：</w:t>
      </w:r>
      <w:r>
        <w:rPr>
          <w:rFonts w:ascii="宋体" w:hAnsi="宋体" w:eastAsia="宋体" w:cs="Times New Roman"/>
          <w:kern w:val="0"/>
          <w:sz w:val="24"/>
          <w:szCs w:val="24"/>
          <w:highlight w:val="none"/>
          <w:u w:val="single"/>
        </w:rPr>
        <w:tab/>
      </w:r>
      <w:r>
        <w:rPr>
          <w:rFonts w:hint="eastAsia" w:ascii="宋体" w:hAnsi="宋体" w:eastAsia="宋体" w:cs="Times New Roman"/>
          <w:kern w:val="0"/>
          <w:sz w:val="24"/>
          <w:szCs w:val="24"/>
          <w:highlight w:val="none"/>
          <w:u w:val="single"/>
          <w:lang w:val="en-US" w:eastAsia="zh-CN"/>
        </w:rPr>
        <w:t xml:space="preserve">     </w:t>
      </w:r>
      <w:r>
        <w:rPr>
          <w:rFonts w:ascii="宋体" w:hAnsi="宋体" w:eastAsia="宋体" w:cs="Times New Roman"/>
          <w:kern w:val="0"/>
          <w:sz w:val="24"/>
          <w:szCs w:val="24"/>
          <w:highlight w:val="none"/>
        </w:rPr>
        <w:t>，即￥</w:t>
      </w:r>
      <w:r>
        <w:rPr>
          <w:rFonts w:hint="eastAsia" w:ascii="宋体" w:hAnsi="宋体" w:eastAsia="宋体" w:cs="Times New Roman"/>
          <w:kern w:val="0"/>
          <w:sz w:val="24"/>
          <w:szCs w:val="24"/>
          <w:highlight w:val="none"/>
          <w:u w:val="single"/>
          <w:lang w:val="en-US" w:eastAsia="zh-CN"/>
        </w:rPr>
        <w:t xml:space="preserve">         </w:t>
      </w:r>
      <w:r>
        <w:rPr>
          <w:rFonts w:ascii="宋体" w:hAnsi="宋体" w:eastAsia="宋体" w:cs="Times New Roman"/>
          <w:kern w:val="0"/>
          <w:sz w:val="24"/>
          <w:szCs w:val="24"/>
          <w:highlight w:val="none"/>
          <w:u w:val="single"/>
        </w:rPr>
        <w:tab/>
      </w:r>
      <w:r>
        <w:rPr>
          <w:rFonts w:ascii="宋体" w:hAnsi="宋体" w:eastAsia="宋体" w:cs="Times New Roman"/>
          <w:kern w:val="0"/>
          <w:sz w:val="24"/>
          <w:szCs w:val="24"/>
          <w:highlight w:val="none"/>
        </w:rPr>
        <w:t>元，</w:t>
      </w:r>
      <w:r>
        <w:rPr>
          <w:rFonts w:hint="eastAsia" w:ascii="宋体" w:hAnsi="宋体" w:eastAsia="宋体" w:cs="Times New Roman"/>
          <w:kern w:val="0"/>
          <w:sz w:val="24"/>
          <w:szCs w:val="24"/>
          <w:highlight w:val="none"/>
          <w:lang w:eastAsia="zh-CN"/>
        </w:rPr>
        <w:t>该费用包含本合同所有费用和税金，除此之外，甲方无需再向乙方支付任何费用</w:t>
      </w:r>
      <w:r>
        <w:rPr>
          <w:rFonts w:ascii="宋体" w:hAnsi="宋体" w:eastAsia="宋体" w:cs="Times New Roman"/>
          <w:kern w:val="0"/>
          <w:sz w:val="24"/>
          <w:szCs w:val="24"/>
          <w:highlight w:val="none"/>
        </w:rPr>
        <w:t>。</w:t>
      </w:r>
    </w:p>
    <w:p>
      <w:pPr>
        <w:widowControl/>
        <w:snapToGrid w:val="0"/>
        <w:spacing w:line="360" w:lineRule="auto"/>
        <w:ind w:firstLine="480" w:firstLineChars="200"/>
        <w:rPr>
          <w:rFonts w:ascii="宋体" w:hAnsi="宋体" w:eastAsia="宋体" w:cs="Times New Roman"/>
          <w:kern w:val="0"/>
          <w:sz w:val="24"/>
          <w:szCs w:val="24"/>
          <w:highlight w:val="none"/>
        </w:rPr>
      </w:pPr>
      <w:r>
        <w:rPr>
          <w:rFonts w:hint="eastAsia" w:ascii="宋体" w:hAnsi="宋体" w:eastAsia="宋体" w:cs="Times New Roman"/>
          <w:kern w:val="0"/>
          <w:sz w:val="24"/>
          <w:szCs w:val="24"/>
          <w:highlight w:val="none"/>
        </w:rPr>
        <w:t>（二）</w:t>
      </w:r>
      <w:r>
        <w:rPr>
          <w:rFonts w:ascii="宋体" w:hAnsi="宋体" w:eastAsia="宋体" w:cs="Times New Roman"/>
          <w:kern w:val="0"/>
          <w:sz w:val="24"/>
          <w:szCs w:val="24"/>
          <w:highlight w:val="none"/>
        </w:rPr>
        <w:t>保费：货物到达交货地点之前的所有保险费用和派往甲方进行服务人员的人身险和其他有关险种，以及有关费用由乙方负责。</w:t>
      </w:r>
    </w:p>
    <w:p>
      <w:pPr>
        <w:widowControl/>
        <w:snapToGrid w:val="0"/>
        <w:spacing w:line="360" w:lineRule="auto"/>
        <w:ind w:firstLine="480" w:firstLineChars="200"/>
        <w:rPr>
          <w:rFonts w:hint="eastAsia" w:ascii="宋体" w:hAnsi="宋体" w:eastAsia="宋体" w:cs="Times New Roman"/>
          <w:kern w:val="0"/>
          <w:sz w:val="24"/>
          <w:szCs w:val="24"/>
          <w:highlight w:val="none"/>
        </w:rPr>
      </w:pPr>
      <w:r>
        <w:rPr>
          <w:rFonts w:hint="eastAsia" w:ascii="宋体" w:hAnsi="宋体" w:eastAsia="宋体" w:cs="Times New Roman"/>
          <w:kern w:val="0"/>
          <w:sz w:val="24"/>
          <w:szCs w:val="24"/>
          <w:highlight w:val="none"/>
        </w:rPr>
        <w:t>（三）货物全部验收合格后，乙方凭有效验收合格证明和等额、合法、有效的</w:t>
      </w:r>
    </w:p>
    <w:p>
      <w:pPr>
        <w:widowControl/>
        <w:snapToGrid w:val="0"/>
        <w:spacing w:line="360" w:lineRule="auto"/>
        <w:rPr>
          <w:rFonts w:hint="eastAsia" w:ascii="宋体" w:hAnsi="宋体" w:eastAsia="宋体" w:cs="Times New Roman"/>
          <w:kern w:val="0"/>
          <w:sz w:val="24"/>
          <w:szCs w:val="24"/>
          <w:highlight w:val="none"/>
        </w:rPr>
      </w:pPr>
      <w:r>
        <w:rPr>
          <w:rFonts w:hint="eastAsia" w:ascii="宋体" w:hAnsi="宋体" w:eastAsia="宋体" w:cs="Times New Roman"/>
          <w:kern w:val="0"/>
          <w:sz w:val="24"/>
          <w:szCs w:val="24"/>
          <w:highlight w:val="none"/>
        </w:rPr>
        <w:t>发票向甲方申请支付货物价款，甲方在 5 个工作日内审核有关材料，并在审核无误后 10 个工作日内一次性支付合同总金额。甲方支付前有权按照法律规定和本合同的约定扣除相应的违约金和赔偿款等费用，已扣除的费用不再支付。</w:t>
      </w:r>
    </w:p>
    <w:p>
      <w:pPr>
        <w:widowControl/>
        <w:snapToGrid w:val="0"/>
        <w:spacing w:line="360" w:lineRule="auto"/>
        <w:ind w:firstLine="480" w:firstLineChars="200"/>
        <w:rPr>
          <w:rFonts w:hint="eastAsia" w:ascii="宋体" w:hAnsi="宋体" w:eastAsia="宋体" w:cs="Times New Roman"/>
          <w:kern w:val="0"/>
          <w:sz w:val="24"/>
          <w:szCs w:val="24"/>
          <w:highlight w:val="none"/>
        </w:rPr>
      </w:pPr>
      <w:r>
        <w:rPr>
          <w:rFonts w:hint="eastAsia" w:ascii="宋体" w:hAnsi="宋体" w:cs="Times New Roman"/>
          <w:kern w:val="0"/>
          <w:sz w:val="24"/>
          <w:szCs w:val="24"/>
          <w:highlight w:val="none"/>
          <w:lang w:eastAsia="zh-CN"/>
        </w:rPr>
        <w:t>（</w:t>
      </w:r>
      <w:r>
        <w:rPr>
          <w:rFonts w:hint="eastAsia" w:ascii="宋体" w:hAnsi="宋体" w:cs="Times New Roman"/>
          <w:kern w:val="0"/>
          <w:sz w:val="24"/>
          <w:szCs w:val="24"/>
          <w:highlight w:val="none"/>
          <w:lang w:val="en-US" w:eastAsia="zh-CN"/>
        </w:rPr>
        <w:t>四）</w:t>
      </w:r>
      <w:r>
        <w:rPr>
          <w:rFonts w:hint="eastAsia" w:ascii="宋体" w:hAnsi="宋体" w:eastAsia="宋体" w:cs="Times New Roman"/>
          <w:kern w:val="0"/>
          <w:sz w:val="24"/>
          <w:szCs w:val="24"/>
          <w:highlight w:val="none"/>
        </w:rPr>
        <w:t>乙方未按约定提交发票或验收合格证明的，甲方有权顺延付款而不视为违约，乙方不得以此为由拒绝履行合同义务。</w:t>
      </w:r>
    </w:p>
    <w:p>
      <w:pPr>
        <w:widowControl/>
        <w:snapToGrid w:val="0"/>
        <w:spacing w:line="360" w:lineRule="auto"/>
        <w:ind w:firstLine="480" w:firstLineChars="200"/>
        <w:rPr>
          <w:rFonts w:ascii="宋体" w:hAnsi="宋体" w:eastAsia="宋体" w:cs="Times New Roman"/>
          <w:kern w:val="0"/>
          <w:sz w:val="24"/>
          <w:szCs w:val="24"/>
          <w:highlight w:val="none"/>
          <w:lang w:eastAsia="zh-CN"/>
        </w:rPr>
      </w:pPr>
      <w:r>
        <w:rPr>
          <w:rFonts w:hint="eastAsia" w:ascii="宋体" w:hAnsi="宋体" w:cs="Times New Roman"/>
          <w:kern w:val="0"/>
          <w:sz w:val="24"/>
          <w:szCs w:val="24"/>
          <w:highlight w:val="none"/>
          <w:lang w:eastAsia="zh-CN"/>
        </w:rPr>
        <w:t>（</w:t>
      </w:r>
      <w:r>
        <w:rPr>
          <w:rFonts w:hint="eastAsia" w:ascii="宋体" w:hAnsi="宋体" w:cs="Times New Roman"/>
          <w:kern w:val="0"/>
          <w:sz w:val="24"/>
          <w:szCs w:val="24"/>
          <w:highlight w:val="none"/>
          <w:lang w:val="en-US" w:eastAsia="zh-CN"/>
        </w:rPr>
        <w:t>五）</w:t>
      </w:r>
      <w:r>
        <w:rPr>
          <w:rFonts w:hint="eastAsia" w:ascii="宋体" w:hAnsi="宋体" w:eastAsia="宋体" w:cs="Times New Roman"/>
          <w:kern w:val="0"/>
          <w:sz w:val="24"/>
          <w:szCs w:val="24"/>
          <w:highlight w:val="none"/>
          <w:lang w:eastAsia="zh-CN"/>
        </w:rPr>
        <w:t>由于本项目资金来源为财政性资金，须执行相关程序，故上述约定时间为甲方完成向财政部门申请支付的手续时间，甲方仅负责在上述约定时间内完成申请支付的手续，实际付款到账时间及金额以财政拨付的时间及金额为准，甲方无需承担由此产生的迟延支付责任；在每次支付前，乙方必须向甲方开具与支付费用等额的合法有效的发票，方可办理相关申报支付手续。</w:t>
      </w:r>
    </w:p>
    <w:p>
      <w:pPr>
        <w:widowControl/>
        <w:snapToGrid w:val="0"/>
        <w:spacing w:line="360" w:lineRule="auto"/>
        <w:ind w:firstLine="482"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b/>
          <w:bCs/>
          <w:kern w:val="0"/>
          <w:sz w:val="24"/>
          <w:szCs w:val="24"/>
          <w:highlight w:val="none"/>
          <w:lang w:eastAsia="zh-CN"/>
        </w:rPr>
        <w:t>四、合同组成</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详细价格、技术说明及其它有关合同设备的特定信息由合同附件说明。所有附件及本项目的采购须知、招标文件、会议纪要、协议等均为本合同不可分割之一部分。</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五、技术要求</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乙方所提供货物为原制造商制造的全新产品，不涉及侵权行为、表面无划损、无任何缺陷隐患，在中国境内可依常规安全合法使用，必须符合国家有关规范和环保要求及甲方的技术要求，并提供设备的出厂测试报告及合格证，进口产品必须具备原产地证明或商检局的检验证明及合法进货渠道证明。</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本合同所指的货物及服务应符合合同附件的技术规格和标准；如果没有提及适用标准，则应符合中华人民共和国国家标准或行业标准；如果中华人民共和国没有相关标准的，则采用货物来源国适用的官方标准。这些标准必须是有关机构发布的最新版本的标准。</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（三）乙方交货时应将所供货物经国家有关部门颁发的产品鉴定证书、使用许可证、用户手册、产品合格证、保修手册、有关图纸、资料及配件、随机工具等一并交付给甲方。</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六、采购项目产品安装、测试及验收要求</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（一）包装:均应有良好的防湿、防锈、防潮、防雨、防腐及防碰撞的措施，凡由于包装不良造成的损失和由此产生的费用均由中标方承担。</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（二）货物的检验与验收</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val="en-US" w:eastAsia="zh-CN"/>
        </w:rPr>
        <w:t>1.</w:t>
      </w:r>
      <w:r>
        <w:rPr>
          <w:rFonts w:hint="eastAsia" w:ascii="宋体" w:hAnsi="宋体" w:eastAsia="宋体" w:cs="Times New Roman"/>
          <w:kern w:val="0"/>
          <w:sz w:val="24"/>
          <w:szCs w:val="24"/>
          <w:highlight w:val="none"/>
          <w:lang w:eastAsia="zh-CN"/>
        </w:rPr>
        <w:t>货物交货至仓库后，收到</w:t>
      </w:r>
      <w:r>
        <w:rPr>
          <w:rFonts w:hint="eastAsia" w:ascii="宋体" w:hAnsi="宋体" w:eastAsia="宋体" w:cs="Times New Roman"/>
          <w:kern w:val="0"/>
          <w:sz w:val="24"/>
          <w:szCs w:val="24"/>
          <w:highlight w:val="none"/>
          <w:lang w:val="en-US" w:eastAsia="zh-CN"/>
        </w:rPr>
        <w:t>乙方申请7日内由甲乙双方共同组织验收</w:t>
      </w:r>
      <w:r>
        <w:rPr>
          <w:rFonts w:hint="eastAsia" w:ascii="宋体" w:hAnsi="宋体" w:eastAsia="宋体" w:cs="Times New Roman"/>
          <w:kern w:val="0"/>
          <w:sz w:val="24"/>
          <w:szCs w:val="24"/>
          <w:highlight w:val="none"/>
          <w:lang w:eastAsia="zh-CN"/>
        </w:rPr>
        <w:t>，</w:t>
      </w:r>
      <w:r>
        <w:rPr>
          <w:rFonts w:hint="eastAsia" w:ascii="宋体" w:hAnsi="宋体" w:eastAsia="宋体" w:cs="Times New Roman"/>
          <w:kern w:val="0"/>
          <w:sz w:val="24"/>
          <w:szCs w:val="24"/>
          <w:highlight w:val="none"/>
          <w:u w:val="single"/>
          <w:lang w:eastAsia="zh-CN"/>
        </w:rPr>
        <w:t>委托第三方检验机构进行检验</w:t>
      </w:r>
      <w:r>
        <w:rPr>
          <w:rFonts w:hint="eastAsia" w:ascii="宋体" w:hAnsi="宋体" w:eastAsia="宋体" w:cs="Times New Roman"/>
          <w:kern w:val="0"/>
          <w:sz w:val="24"/>
          <w:szCs w:val="24"/>
          <w:highlight w:val="none"/>
          <w:lang w:eastAsia="zh-CN"/>
        </w:rPr>
        <w:t>。</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2.验收时如发现所交付的货物有短装、次品、损坏或其它不符合本合同规定之情形者，应做出详尽的现场记录，或由甲乙双方签署备忘录。此现场记录或备忘录可用作补充、缺失和更换损坏部件的有效证据。由此产生的有关费用由乙方承担。</w:t>
      </w:r>
    </w:p>
    <w:p>
      <w:pPr>
        <w:widowControl/>
        <w:snapToGrid w:val="0"/>
        <w:spacing w:line="360" w:lineRule="auto"/>
        <w:ind w:firstLine="480" w:firstLineChars="200"/>
        <w:rPr>
          <w:rFonts w:hint="default"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3.检验标准：</w:t>
      </w:r>
      <w:r>
        <w:rPr>
          <w:rFonts w:hint="default" w:ascii="宋体" w:hAnsi="宋体" w:eastAsia="宋体" w:cs="Times New Roman"/>
          <w:kern w:val="0"/>
          <w:sz w:val="24"/>
          <w:szCs w:val="24"/>
          <w:highlight w:val="none"/>
          <w:lang w:eastAsia="zh-CN"/>
        </w:rPr>
        <w:t>任何一次抽检货物中有一件货物不合格，则视为本次抽检不合格。首次检验不合格，</w:t>
      </w:r>
      <w:r>
        <w:rPr>
          <w:rFonts w:hint="eastAsia" w:ascii="宋体" w:hAnsi="宋体" w:eastAsia="宋体" w:cs="Times New Roman"/>
          <w:kern w:val="0"/>
          <w:sz w:val="24"/>
          <w:szCs w:val="24"/>
          <w:highlight w:val="none"/>
          <w:lang w:eastAsia="zh-CN"/>
        </w:rPr>
        <w:t>乙方</w:t>
      </w:r>
      <w:r>
        <w:rPr>
          <w:rFonts w:hint="default" w:ascii="宋体" w:hAnsi="宋体" w:eastAsia="宋体" w:cs="Times New Roman"/>
          <w:kern w:val="0"/>
          <w:sz w:val="24"/>
          <w:szCs w:val="24"/>
          <w:highlight w:val="none"/>
          <w:lang w:eastAsia="zh-CN"/>
        </w:rPr>
        <w:t>有权在收到</w:t>
      </w:r>
      <w:r>
        <w:rPr>
          <w:rFonts w:hint="eastAsia" w:ascii="宋体" w:hAnsi="宋体" w:eastAsia="宋体" w:cs="Times New Roman"/>
          <w:kern w:val="0"/>
          <w:sz w:val="24"/>
          <w:szCs w:val="24"/>
          <w:highlight w:val="none"/>
          <w:lang w:eastAsia="zh-CN"/>
        </w:rPr>
        <w:t>甲方</w:t>
      </w:r>
      <w:r>
        <w:rPr>
          <w:rFonts w:hint="default" w:ascii="宋体" w:hAnsi="宋体" w:eastAsia="宋体" w:cs="Times New Roman"/>
          <w:kern w:val="0"/>
          <w:sz w:val="24"/>
          <w:szCs w:val="24"/>
          <w:highlight w:val="none"/>
          <w:lang w:eastAsia="zh-CN"/>
        </w:rPr>
        <w:t>书面通知后三日内以书面形式提出复检请求，经</w:t>
      </w:r>
      <w:r>
        <w:rPr>
          <w:rFonts w:hint="eastAsia" w:ascii="宋体" w:hAnsi="宋体" w:eastAsia="宋体" w:cs="Times New Roman"/>
          <w:kern w:val="0"/>
          <w:sz w:val="24"/>
          <w:szCs w:val="24"/>
          <w:highlight w:val="none"/>
          <w:lang w:eastAsia="zh-CN"/>
        </w:rPr>
        <w:t>甲方</w:t>
      </w:r>
      <w:r>
        <w:rPr>
          <w:rFonts w:hint="default" w:ascii="宋体" w:hAnsi="宋体" w:eastAsia="宋体" w:cs="Times New Roman"/>
          <w:kern w:val="0"/>
          <w:sz w:val="24"/>
          <w:szCs w:val="24"/>
          <w:highlight w:val="none"/>
          <w:lang w:eastAsia="zh-CN"/>
        </w:rPr>
        <w:t>同意后，由</w:t>
      </w:r>
      <w:r>
        <w:rPr>
          <w:rFonts w:hint="eastAsia" w:ascii="宋体" w:hAnsi="宋体" w:eastAsia="宋体" w:cs="Times New Roman"/>
          <w:kern w:val="0"/>
          <w:sz w:val="24"/>
          <w:szCs w:val="24"/>
          <w:highlight w:val="none"/>
          <w:lang w:eastAsia="zh-CN"/>
        </w:rPr>
        <w:t>乙方</w:t>
      </w:r>
      <w:r>
        <w:rPr>
          <w:rFonts w:hint="default" w:ascii="宋体" w:hAnsi="宋体" w:eastAsia="宋体" w:cs="Times New Roman"/>
          <w:kern w:val="0"/>
          <w:sz w:val="24"/>
          <w:szCs w:val="24"/>
          <w:highlight w:val="none"/>
          <w:lang w:eastAsia="zh-CN"/>
        </w:rPr>
        <w:t>选择国家认可的第三方检验机构，抽取同样比例样品进行检验，检验项目须与首检项目一致，因此而产生的费用及复检所损耗的货物均由</w:t>
      </w:r>
      <w:r>
        <w:rPr>
          <w:rFonts w:hint="eastAsia" w:ascii="宋体" w:hAnsi="宋体" w:eastAsia="宋体" w:cs="Times New Roman"/>
          <w:kern w:val="0"/>
          <w:sz w:val="24"/>
          <w:szCs w:val="24"/>
          <w:highlight w:val="none"/>
          <w:lang w:eastAsia="zh-CN"/>
        </w:rPr>
        <w:t>乙方</w:t>
      </w:r>
      <w:r>
        <w:rPr>
          <w:rFonts w:hint="default" w:ascii="宋体" w:hAnsi="宋体" w:eastAsia="宋体" w:cs="Times New Roman"/>
          <w:kern w:val="0"/>
          <w:sz w:val="24"/>
          <w:szCs w:val="24"/>
          <w:highlight w:val="none"/>
          <w:lang w:eastAsia="zh-CN"/>
        </w:rPr>
        <w:t>承担。</w:t>
      </w:r>
      <w:r>
        <w:rPr>
          <w:rFonts w:hint="eastAsia" w:ascii="宋体" w:hAnsi="宋体" w:eastAsia="宋体" w:cs="Times New Roman"/>
          <w:kern w:val="0"/>
          <w:sz w:val="24"/>
          <w:szCs w:val="24"/>
          <w:highlight w:val="none"/>
          <w:lang w:eastAsia="zh-CN"/>
        </w:rPr>
        <w:t>乙方</w:t>
      </w:r>
      <w:r>
        <w:rPr>
          <w:rFonts w:hint="default" w:ascii="宋体" w:hAnsi="宋体" w:eastAsia="宋体" w:cs="Times New Roman"/>
          <w:kern w:val="0"/>
          <w:sz w:val="24"/>
          <w:szCs w:val="24"/>
          <w:highlight w:val="none"/>
          <w:lang w:eastAsia="zh-CN"/>
        </w:rPr>
        <w:t>未在约定日期内提出复检请求的，</w:t>
      </w:r>
      <w:r>
        <w:rPr>
          <w:rFonts w:hint="eastAsia" w:ascii="宋体" w:hAnsi="宋体" w:eastAsia="宋体" w:cs="Times New Roman"/>
          <w:kern w:val="0"/>
          <w:sz w:val="24"/>
          <w:szCs w:val="24"/>
          <w:highlight w:val="none"/>
          <w:lang w:eastAsia="zh-CN"/>
        </w:rPr>
        <w:t>甲方</w:t>
      </w:r>
      <w:r>
        <w:rPr>
          <w:rFonts w:hint="default" w:ascii="宋体" w:hAnsi="宋体" w:eastAsia="宋体" w:cs="Times New Roman"/>
          <w:kern w:val="0"/>
          <w:sz w:val="24"/>
          <w:szCs w:val="24"/>
          <w:highlight w:val="none"/>
          <w:lang w:eastAsia="zh-CN"/>
        </w:rPr>
        <w:t>有权自行决定进行复检。复检不合格的，</w:t>
      </w:r>
      <w:r>
        <w:rPr>
          <w:rFonts w:hint="eastAsia" w:ascii="宋体" w:hAnsi="宋体" w:eastAsia="宋体" w:cs="Times New Roman"/>
          <w:kern w:val="0"/>
          <w:sz w:val="24"/>
          <w:szCs w:val="24"/>
          <w:highlight w:val="none"/>
          <w:lang w:eastAsia="zh-CN"/>
        </w:rPr>
        <w:t>甲方</w:t>
      </w:r>
      <w:r>
        <w:rPr>
          <w:rFonts w:hint="default" w:ascii="宋体" w:hAnsi="宋体" w:eastAsia="宋体" w:cs="Times New Roman"/>
          <w:kern w:val="0"/>
          <w:sz w:val="24"/>
          <w:szCs w:val="24"/>
          <w:highlight w:val="none"/>
          <w:lang w:eastAsia="zh-CN"/>
        </w:rPr>
        <w:t>有权终止并解除本合同，</w:t>
      </w:r>
      <w:r>
        <w:rPr>
          <w:rFonts w:hint="eastAsia" w:ascii="宋体" w:hAnsi="宋体" w:eastAsia="宋体" w:cs="Times New Roman"/>
          <w:kern w:val="0"/>
          <w:sz w:val="24"/>
          <w:szCs w:val="24"/>
          <w:highlight w:val="none"/>
          <w:lang w:val="en-US" w:eastAsia="zh-CN"/>
        </w:rPr>
        <w:t>乙方</w:t>
      </w:r>
      <w:r>
        <w:rPr>
          <w:rFonts w:hint="default" w:ascii="宋体" w:hAnsi="宋体" w:eastAsia="宋体" w:cs="Times New Roman"/>
          <w:kern w:val="0"/>
          <w:sz w:val="24"/>
          <w:szCs w:val="24"/>
          <w:highlight w:val="none"/>
          <w:lang w:val="en-US" w:eastAsia="zh-CN"/>
        </w:rPr>
        <w:t>自收到</w:t>
      </w:r>
      <w:r>
        <w:rPr>
          <w:rFonts w:hint="eastAsia" w:ascii="宋体" w:hAnsi="宋体" w:eastAsia="宋体" w:cs="Times New Roman"/>
          <w:kern w:val="0"/>
          <w:sz w:val="24"/>
          <w:szCs w:val="24"/>
          <w:highlight w:val="none"/>
          <w:lang w:val="en-US" w:eastAsia="zh-CN"/>
        </w:rPr>
        <w:t>解除合同及</w:t>
      </w:r>
      <w:r>
        <w:rPr>
          <w:rFonts w:hint="default" w:ascii="宋体" w:hAnsi="宋体" w:eastAsia="宋体" w:cs="Times New Roman"/>
          <w:kern w:val="0"/>
          <w:sz w:val="24"/>
          <w:szCs w:val="24"/>
          <w:highlight w:val="none"/>
          <w:lang w:val="en-US" w:eastAsia="zh-CN"/>
        </w:rPr>
        <w:t>退货指令后10个工作日内运回货物，并退还</w:t>
      </w:r>
      <w:r>
        <w:rPr>
          <w:rFonts w:hint="eastAsia" w:ascii="宋体" w:hAnsi="宋体" w:eastAsia="宋体" w:cs="Times New Roman"/>
          <w:kern w:val="0"/>
          <w:sz w:val="24"/>
          <w:szCs w:val="24"/>
          <w:highlight w:val="none"/>
          <w:lang w:val="en-US" w:eastAsia="zh-CN"/>
        </w:rPr>
        <w:t>甲方</w:t>
      </w:r>
      <w:r>
        <w:rPr>
          <w:rFonts w:hint="default" w:ascii="宋体" w:hAnsi="宋体" w:eastAsia="宋体" w:cs="Times New Roman"/>
          <w:kern w:val="0"/>
          <w:sz w:val="24"/>
          <w:szCs w:val="24"/>
          <w:highlight w:val="none"/>
          <w:lang w:val="en-US" w:eastAsia="zh-CN"/>
        </w:rPr>
        <w:t>全部预付款，所有损失均由</w:t>
      </w:r>
      <w:r>
        <w:rPr>
          <w:rFonts w:hint="eastAsia" w:ascii="宋体" w:hAnsi="宋体" w:eastAsia="宋体" w:cs="Times New Roman"/>
          <w:kern w:val="0"/>
          <w:sz w:val="24"/>
          <w:szCs w:val="24"/>
          <w:highlight w:val="none"/>
          <w:lang w:val="en-US" w:eastAsia="zh-CN"/>
        </w:rPr>
        <w:t>乙方</w:t>
      </w:r>
      <w:r>
        <w:rPr>
          <w:rFonts w:hint="default" w:ascii="宋体" w:hAnsi="宋体" w:eastAsia="宋体" w:cs="Times New Roman"/>
          <w:kern w:val="0"/>
          <w:sz w:val="24"/>
          <w:szCs w:val="24"/>
          <w:highlight w:val="none"/>
          <w:lang w:val="en-US" w:eastAsia="zh-CN"/>
        </w:rPr>
        <w:t>承担</w:t>
      </w:r>
      <w:r>
        <w:rPr>
          <w:rFonts w:hint="default" w:ascii="宋体" w:hAnsi="宋体" w:eastAsia="宋体" w:cs="Times New Roman"/>
          <w:kern w:val="0"/>
          <w:sz w:val="24"/>
          <w:szCs w:val="24"/>
          <w:highlight w:val="none"/>
          <w:lang w:eastAsia="zh-CN"/>
        </w:rPr>
        <w:t>。每一批次货物最多进行一次复检，</w:t>
      </w:r>
      <w:r>
        <w:rPr>
          <w:rFonts w:hint="eastAsia" w:ascii="宋体" w:hAnsi="宋体" w:eastAsia="宋体" w:cs="Times New Roman"/>
          <w:kern w:val="0"/>
          <w:sz w:val="24"/>
          <w:szCs w:val="24"/>
          <w:highlight w:val="none"/>
          <w:lang w:eastAsia="zh-CN"/>
        </w:rPr>
        <w:t>乙方</w:t>
      </w:r>
      <w:r>
        <w:rPr>
          <w:rFonts w:hint="default" w:ascii="宋体" w:hAnsi="宋体" w:eastAsia="宋体" w:cs="Times New Roman"/>
          <w:kern w:val="0"/>
          <w:sz w:val="24"/>
          <w:szCs w:val="24"/>
          <w:highlight w:val="none"/>
          <w:lang w:eastAsia="zh-CN"/>
        </w:rPr>
        <w:t>在首次检验不合格并退换货物后所进行的抽检，视为复检。（提供承诺函）</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4.如果合同货物运输和安装调试过程中因事故造成货物短缺、损坏，乙方应及时安排换货，以保证合同货物成功完整交付。换货的相关费用由乙方承担。</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5.验收过程中，产品经检验合格时，检验费用由甲方承担；产品经检验不合格时，检验费用由乙方承担。</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val="en-US" w:eastAsia="zh-CN"/>
        </w:rPr>
        <w:t>6.</w:t>
      </w:r>
      <w:r>
        <w:rPr>
          <w:rFonts w:hint="eastAsia" w:ascii="宋体" w:hAnsi="宋体" w:eastAsia="宋体" w:cs="Times New Roman"/>
          <w:kern w:val="0"/>
          <w:sz w:val="24"/>
          <w:szCs w:val="24"/>
          <w:highlight w:val="none"/>
          <w:lang w:eastAsia="zh-CN"/>
        </w:rPr>
        <w:t>检验所损耗的货物由乙方免费补充，检测项目与招标文件中《用户需求》中所列之检测项目一致，且质量等级标准应当与投标时通过检测的样品质量等级标准一致。对于未被列入检测范围的项目，并不意味着甲方对货物质量标准的任何豁免，乙方供货仍应当符合甲方招标文件检验方案中列明的检验依据的全部规定及要求。</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七、售后服务要求</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（一）供货商在安装产品和保修期内的维修中对甲方的现场管理人员进行培训。</w:t>
      </w:r>
    </w:p>
    <w:p>
      <w:pPr>
        <w:spacing w:line="360" w:lineRule="auto"/>
        <w:ind w:left="62"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（二）质保期为</w:t>
      </w:r>
      <w:r>
        <w:rPr>
          <w:rFonts w:hint="eastAsia" w:ascii="宋体" w:hAnsi="宋体" w:eastAsia="宋体" w:cs="Times New Roman"/>
          <w:kern w:val="0"/>
          <w:sz w:val="24"/>
          <w:szCs w:val="24"/>
          <w:highlight w:val="none"/>
          <w:u w:val="single"/>
          <w:lang w:val="en-US" w:eastAsia="zh-CN"/>
        </w:rPr>
        <w:t xml:space="preserve">     </w:t>
      </w:r>
      <w:r>
        <w:rPr>
          <w:rFonts w:hint="eastAsia" w:ascii="宋体" w:hAnsi="宋体" w:eastAsia="宋体" w:cs="Times New Roman"/>
          <w:kern w:val="0"/>
          <w:sz w:val="24"/>
          <w:szCs w:val="24"/>
          <w:highlight w:val="none"/>
          <w:lang w:val="en-US" w:eastAsia="zh-CN"/>
        </w:rPr>
        <w:t>年，每</w:t>
      </w:r>
      <w:r>
        <w:rPr>
          <w:rFonts w:hint="eastAsia" w:ascii="宋体" w:hAnsi="宋体" w:eastAsia="宋体" w:cs="Times New Roman"/>
          <w:kern w:val="0"/>
          <w:sz w:val="24"/>
          <w:szCs w:val="24"/>
          <w:highlight w:val="none"/>
          <w:u w:val="single"/>
          <w:lang w:val="en-US" w:eastAsia="zh-CN"/>
        </w:rPr>
        <w:t xml:space="preserve">     </w:t>
      </w:r>
      <w:r>
        <w:rPr>
          <w:rFonts w:hint="eastAsia" w:ascii="宋体" w:hAnsi="宋体" w:eastAsia="宋体" w:cs="Times New Roman"/>
          <w:kern w:val="0"/>
          <w:sz w:val="24"/>
          <w:szCs w:val="24"/>
          <w:highlight w:val="none"/>
          <w:lang w:val="en-US" w:eastAsia="zh-CN"/>
        </w:rPr>
        <w:t>年到场维护检查一次，</w:t>
      </w:r>
      <w:r>
        <w:rPr>
          <w:rFonts w:hint="eastAsia" w:ascii="宋体" w:hAnsi="宋体" w:eastAsia="宋体" w:cs="Times New Roman"/>
          <w:kern w:val="0"/>
          <w:sz w:val="24"/>
          <w:szCs w:val="24"/>
          <w:highlight w:val="none"/>
          <w:lang w:eastAsia="zh-CN"/>
        </w:rPr>
        <w:t>质保期自货物从验收合格之日起算。货物在质保期内由于产品质量发生问题的，中标人应按国家相关规定进行修理或更换货物。</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（三）对甲方的服务通知，乙方在接报后1小时内响应，4小时内到达现场，48 小时内处理完毕。若在48小时内仍未能有效解决，乙方须免费提供同档次的货物予甲方临时使用。</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八、技术服务</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（一）乙方应派员到甲方指定地点配合工作。</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（二）乙方按甲方提供的合同执行进度计划配合甲方及有关单位做好相关工作。</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九、不可抗力</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（一）不可抗力指战争、严重火灾、洪水、台风、地震等或其它双方认定的不可抗力事件。</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（二）签约双方中任何一方由于不可抗力影响合同执行时，发生不可抗力一方应尽快将情况通知另一方。在此情况下，乙方仍然有责任采取必要的措施加速供货，双方应通过友好协商尽快解决本合同的执行问题。</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十、索赔</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（一）如有异议，甲方有权根据有关政府部门的检验结果向乙方提出索赔。</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（二）在合同执行期间，如果乙方对甲方提出的索赔和差异负有责任，乙方应按照甲方同意的下列一种或多种方式解决索赔事宜：</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1.乙方同意退货，并按合同规定的同种货币将货款退还给甲方，并承担由此发生的一切损失和费用。</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2.根据货物低劣程度、损坏程度以及甲方所遭受损失的数额，甲乙双方商定降低货物的价格。</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3.用符合规格、质量和性能要求的新零件、部件或货物来更换有缺陷的部分或修补缺陷的部分，乙方应承担一切费用和风险并赔偿甲方因此遭受的损失,同时，相应延长质量保证期。</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4.如果在甲方发出索赔通知后30天内，乙方未作书面答复，上述索赔应视为已被乙方接受。甲方将从合同款项中扣回索赔金额。如果这些金额不足以补偿索赔金额，甲方有权向乙方提出不足部分的补偿。</w:t>
      </w:r>
    </w:p>
    <w:p>
      <w:pPr>
        <w:widowControl/>
        <w:snapToGrid w:val="0"/>
        <w:spacing w:line="360" w:lineRule="auto"/>
        <w:ind w:firstLine="482"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b/>
          <w:bCs/>
          <w:kern w:val="0"/>
          <w:sz w:val="24"/>
          <w:szCs w:val="24"/>
          <w:highlight w:val="none"/>
          <w:lang w:eastAsia="zh-CN"/>
        </w:rPr>
        <w:t>十一、违约与处罚</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（一）甲方应依合同规定时间内，向乙方支付货款，每逾期1日，乙方可向甲方加收合同总价的3‰的违约金，本项违约金累计不得超过合同总价的5%。</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（二）乙方未能按时交货，每拖延一天，须向甲方支付合同金额的</w:t>
      </w:r>
      <w:r>
        <w:rPr>
          <w:rFonts w:hint="eastAsia" w:ascii="宋体" w:hAnsi="宋体" w:eastAsia="宋体" w:cs="Times New Roman"/>
          <w:kern w:val="0"/>
          <w:sz w:val="24"/>
          <w:szCs w:val="24"/>
          <w:highlight w:val="none"/>
          <w:lang w:val="en-US" w:eastAsia="zh-CN"/>
        </w:rPr>
        <w:t>3</w:t>
      </w:r>
      <w:r>
        <w:rPr>
          <w:rFonts w:hint="eastAsia" w:ascii="宋体" w:hAnsi="宋体" w:eastAsia="宋体" w:cs="Times New Roman"/>
          <w:kern w:val="0"/>
          <w:sz w:val="24"/>
          <w:szCs w:val="24"/>
          <w:highlight w:val="none"/>
          <w:lang w:eastAsia="zh-CN"/>
        </w:rPr>
        <w:t>‰的违约金，计到交货之日为止。如乙方逾期30天仍未交货，甲方有权终止合同，乙方应退还已收取的合同款并向甲方支付合同金额的5%的违约金，违约金不足以弥补甲方损失的，乙方应继续承担赔偿责任。</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（三）乙方交付的货物不符合本合同约定的，甲方有权拒收并要求乙方向甲方支付合同金额的5%的违约金。违约金不足以弥补甲方损失的，乙方继续承担赔偿责任。</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（四）甲方无正当理由拒收货物的，乙方有权要求甲方向乙方支付合同金额的5%的违约金。</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五）乙方交付货物的品质、性能、技术标准、质量要求轻微不符合合同约定的，甲方有权向乙方提出更换货物及索赔，乙方应在甲方提出之日起30天内免费更换货物，此段时间属逾期交货，按本条第2款处理。如经更换，货物质量仍不符合合同约定的，甲方有权终止合同，乙方应在</w:t>
      </w:r>
      <w:r>
        <w:rPr>
          <w:rFonts w:hint="eastAsia" w:ascii="宋体" w:hAnsi="宋体" w:eastAsia="宋体" w:cs="Times New Roman"/>
          <w:kern w:val="0"/>
          <w:sz w:val="24"/>
          <w:szCs w:val="24"/>
          <w:highlight w:val="none"/>
          <w:lang w:val="en-US" w:eastAsia="zh-CN"/>
        </w:rPr>
        <w:t>10个工作日内</w:t>
      </w:r>
      <w:r>
        <w:rPr>
          <w:rFonts w:hint="eastAsia" w:ascii="宋体" w:hAnsi="宋体" w:eastAsia="宋体" w:cs="Times New Roman"/>
          <w:kern w:val="0"/>
          <w:sz w:val="24"/>
          <w:szCs w:val="24"/>
          <w:highlight w:val="none"/>
          <w:lang w:eastAsia="zh-CN"/>
        </w:rPr>
        <w:t>向甲方返还已付款项。</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（六）质保期内，乙方对甲方提出的服务需求通知未能在规定时间响应的，甲方有权委托其他维修单位进行维修或更换，乙方需承担由此产生的所有相关费用和一切后果。</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七）乙方保证本合同项下货物的权利无瑕疵，包括但不限于货物所有权及知识产权等权利无瑕疵。如任何第三方经法院（或仲裁机构）裁判有权对上述货物主张权利或国家机关依法对货物进行没收查处的，乙方除应向甲方返还已收款项外，还应赔偿因此给甲方造成的一切损失。</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 xml:space="preserve">十二、合同转让与分包 </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本合同乙方在任何情况下都不得转让其应履行的合同义务。</w:t>
      </w:r>
    </w:p>
    <w:p>
      <w:pPr>
        <w:widowControl/>
        <w:snapToGrid w:val="0"/>
        <w:spacing w:line="360" w:lineRule="auto"/>
        <w:ind w:firstLine="482"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b/>
          <w:bCs/>
          <w:kern w:val="0"/>
          <w:sz w:val="24"/>
          <w:szCs w:val="24"/>
          <w:highlight w:val="none"/>
          <w:lang w:eastAsia="zh-CN"/>
        </w:rPr>
        <w:t>十三、合同终止</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如果一方严重违反合同，守约方有权立即发出通知终止合同，通知到达违约方之时本合同终止。守约方亦有权要求其纠正违约行为并给予违约方一定宽限期，如期限届满违约方依然没有纠正其违约行为，则守约方有权终止合同并追究违约方（包括宽限期在内）的违约责任。</w:t>
      </w:r>
    </w:p>
    <w:p>
      <w:pPr>
        <w:widowControl/>
        <w:snapToGrid w:val="0"/>
        <w:spacing w:line="360" w:lineRule="auto"/>
        <w:ind w:firstLine="482"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b/>
          <w:bCs/>
          <w:kern w:val="0"/>
          <w:sz w:val="24"/>
          <w:szCs w:val="24"/>
          <w:highlight w:val="none"/>
          <w:lang w:eastAsia="zh-CN"/>
        </w:rPr>
        <w:t>十四、法律诉讼</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合同履行过程中发生的任何争议，双方应先通过友好协商解决，若争议自发生之日起30日内无法协商一致的，双方同意向甲方所在地人民法院起诉解决。争议事项的解决不影响合同非争议事项的履行。权利人为实现权利的费用（包括但不限于诉讼费用、律师费用、公证费用、执行费用、保全费用等）均由败诉一方承担。</w:t>
      </w:r>
    </w:p>
    <w:p>
      <w:pPr>
        <w:widowControl/>
        <w:snapToGrid w:val="0"/>
        <w:spacing w:line="360" w:lineRule="auto"/>
        <w:ind w:firstLine="482" w:firstLineChars="200"/>
        <w:rPr>
          <w:rFonts w:hint="eastAsia" w:ascii="宋体" w:hAnsi="宋体" w:eastAsia="宋体" w:cs="Times New Roman"/>
          <w:b/>
          <w:bCs/>
          <w:kern w:val="0"/>
          <w:sz w:val="24"/>
          <w:szCs w:val="24"/>
          <w:highlight w:val="none"/>
          <w:lang w:eastAsia="zh-CN"/>
        </w:rPr>
      </w:pPr>
      <w:r>
        <w:rPr>
          <w:rFonts w:hint="eastAsia" w:ascii="宋体" w:hAnsi="宋体" w:eastAsia="宋体" w:cs="Times New Roman"/>
          <w:b/>
          <w:bCs/>
          <w:kern w:val="0"/>
          <w:sz w:val="24"/>
          <w:szCs w:val="24"/>
          <w:highlight w:val="none"/>
          <w:lang w:eastAsia="zh-CN"/>
        </w:rPr>
        <w:t>十五、其它</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（一）本合同正本四份，具有同等法律效力，甲方执两份、乙方执一份，财政部门一份。合同自双方法定代表人或授权代表签字并加盖公章之日起生效。</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（二）下列文件是本合同的一部分，并与本合同具有同等法律效力。</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1.乙方提交的投标承诺函和开标一览表；</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2.投标人资格声明函；</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3.中标通知书；</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4.其他相关投标文件。</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5.本合同未尽事宜，由双方协商处理，经双方协商一致后签订补充协议予以明确。</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以下无正文。</w:t>
      </w:r>
    </w:p>
    <w:p>
      <w:pPr>
        <w:pStyle w:val="16"/>
        <w:rPr>
          <w:rFonts w:hint="eastAsia" w:ascii="宋体" w:hAnsi="宋体" w:eastAsia="宋体" w:cs="Times New Roman"/>
          <w:kern w:val="0"/>
          <w:sz w:val="24"/>
          <w:szCs w:val="24"/>
          <w:highlight w:val="none"/>
          <w:lang w:eastAsia="zh-CN"/>
        </w:rPr>
      </w:pPr>
    </w:p>
    <w:p>
      <w:pPr>
        <w:rPr>
          <w:rFonts w:hint="eastAsia"/>
          <w:highlight w:val="none"/>
          <w:lang w:eastAsia="zh-CN"/>
        </w:rPr>
      </w:pP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甲方：</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乙方：</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法定代表人（授权代表）：</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法定代表人（授权代表）：</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地址：</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地址：</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电话：</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电话：</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 xml:space="preserve">传真：                           </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传真：</w:t>
      </w:r>
    </w:p>
    <w:p>
      <w:pPr>
        <w:widowControl/>
        <w:snapToGrid w:val="0"/>
        <w:spacing w:line="360" w:lineRule="auto"/>
        <w:ind w:firstLine="480" w:firstLineChars="200"/>
        <w:rPr>
          <w:rFonts w:hint="eastAsia" w:ascii="宋体" w:hAnsi="宋体" w:eastAsia="宋体" w:cs="Times New Roman"/>
          <w:kern w:val="0"/>
          <w:sz w:val="24"/>
          <w:szCs w:val="24"/>
          <w:highlight w:val="none"/>
          <w:lang w:eastAsia="zh-CN"/>
        </w:rPr>
      </w:pPr>
      <w:r>
        <w:rPr>
          <w:rFonts w:hint="eastAsia" w:ascii="宋体" w:hAnsi="宋体" w:eastAsia="宋体" w:cs="Times New Roman"/>
          <w:kern w:val="0"/>
          <w:sz w:val="24"/>
          <w:szCs w:val="24"/>
          <w:highlight w:val="none"/>
          <w:lang w:eastAsia="zh-CN"/>
        </w:rPr>
        <w:t>签约日期：20</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年</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月</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日</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 xml:space="preserve">     </w:t>
      </w:r>
      <w:r>
        <w:rPr>
          <w:rFonts w:hint="eastAsia" w:ascii="宋体" w:hAnsi="宋体" w:eastAsia="宋体" w:cs="Times New Roman"/>
          <w:kern w:val="0"/>
          <w:sz w:val="24"/>
          <w:szCs w:val="24"/>
          <w:highlight w:val="none"/>
          <w:lang w:val="en-US" w:eastAsia="zh-CN"/>
        </w:rPr>
        <w:t xml:space="preserve">        </w:t>
      </w:r>
      <w:r>
        <w:rPr>
          <w:rFonts w:hint="eastAsia" w:ascii="宋体" w:hAnsi="宋体" w:eastAsia="宋体" w:cs="Times New Roman"/>
          <w:kern w:val="0"/>
          <w:sz w:val="24"/>
          <w:szCs w:val="24"/>
          <w:highlight w:val="none"/>
          <w:lang w:eastAsia="zh-CN"/>
        </w:rPr>
        <w:t>签约日期：20</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年</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月</w:t>
      </w:r>
      <w:r>
        <w:rPr>
          <w:rFonts w:hint="eastAsia" w:ascii="宋体" w:hAnsi="宋体" w:eastAsia="宋体" w:cs="Times New Roman"/>
          <w:kern w:val="0"/>
          <w:sz w:val="24"/>
          <w:szCs w:val="24"/>
          <w:highlight w:val="none"/>
          <w:lang w:eastAsia="zh-CN"/>
        </w:rPr>
        <w:tab/>
      </w:r>
      <w:r>
        <w:rPr>
          <w:rFonts w:hint="eastAsia" w:ascii="宋体" w:hAnsi="宋体" w:eastAsia="宋体" w:cs="Times New Roman"/>
          <w:kern w:val="0"/>
          <w:sz w:val="24"/>
          <w:szCs w:val="24"/>
          <w:highlight w:val="none"/>
          <w:lang w:eastAsia="zh-CN"/>
        </w:rPr>
        <w:t>日</w:t>
      </w:r>
    </w:p>
    <w:p>
      <w:pPr>
        <w:rPr>
          <w:highlight w:val="none"/>
        </w:rPr>
      </w:pPr>
      <w:r>
        <w:rPr>
          <w:highlight w:val="none"/>
        </w:rPr>
        <w:br w:type="page"/>
      </w:r>
    </w:p>
    <w:p>
      <w:pPr>
        <w:spacing w:line="360" w:lineRule="auto"/>
        <w:jc w:val="center"/>
        <w:outlineLvl w:val="0"/>
        <w:rPr>
          <w:rFonts w:ascii="宋体" w:hAnsi="宋体"/>
          <w:b/>
          <w:color w:val="000000" w:themeColor="text1"/>
          <w:sz w:val="28"/>
          <w:szCs w:val="24"/>
          <w:highlight w:val="none"/>
          <w14:textFill>
            <w14:solidFill>
              <w14:schemeClr w14:val="tx1"/>
            </w14:solidFill>
          </w14:textFill>
        </w:rPr>
      </w:pPr>
      <w:bookmarkStart w:id="130" w:name="_Toc28059"/>
      <w:r>
        <w:rPr>
          <w:rFonts w:hint="eastAsia" w:ascii="宋体" w:hAnsi="宋体"/>
          <w:b/>
          <w:color w:val="000000" w:themeColor="text1"/>
          <w:sz w:val="32"/>
          <w:szCs w:val="30"/>
          <w:highlight w:val="none"/>
          <w14:textFill>
            <w14:solidFill>
              <w14:schemeClr w14:val="tx1"/>
            </w14:solidFill>
          </w14:textFill>
        </w:rPr>
        <w:t xml:space="preserve">第四章 </w:t>
      </w:r>
      <w:r>
        <w:rPr>
          <w:rFonts w:hint="eastAsia" w:ascii="宋体" w:hAnsi="宋体"/>
          <w:b/>
          <w:bCs/>
          <w:color w:val="000000" w:themeColor="text1"/>
          <w:sz w:val="32"/>
          <w:szCs w:val="30"/>
          <w:highlight w:val="none"/>
          <w14:textFill>
            <w14:solidFill>
              <w14:schemeClr w14:val="tx1"/>
            </w14:solidFill>
          </w14:textFill>
        </w:rPr>
        <w:t>交易方式、竞价</w:t>
      </w:r>
      <w:r>
        <w:rPr>
          <w:rFonts w:hint="eastAsia" w:ascii="宋体" w:hAnsi="宋体"/>
          <w:b/>
          <w:color w:val="000000" w:themeColor="text1"/>
          <w:sz w:val="32"/>
          <w:szCs w:val="30"/>
          <w:highlight w:val="none"/>
          <w14:textFill>
            <w14:solidFill>
              <w14:schemeClr w14:val="tx1"/>
            </w14:solidFill>
          </w14:textFill>
        </w:rPr>
        <w:t>程序和定标</w:t>
      </w:r>
      <w:bookmarkEnd w:id="130"/>
    </w:p>
    <w:p>
      <w:pPr>
        <w:widowControl w:val="0"/>
        <w:numPr>
          <w:ilvl w:val="0"/>
          <w:numId w:val="14"/>
        </w:numPr>
        <w:spacing w:line="360" w:lineRule="auto"/>
        <w:ind w:left="567" w:hanging="27"/>
        <w:outlineLvl w:val="1"/>
        <w:rPr>
          <w:rFonts w:ascii="宋体" w:hAnsi="宋体"/>
          <w:b/>
          <w:bCs/>
          <w:color w:val="000000" w:themeColor="text1"/>
          <w:sz w:val="24"/>
          <w:szCs w:val="24"/>
          <w:highlight w:val="none"/>
          <w14:textFill>
            <w14:solidFill>
              <w14:schemeClr w14:val="tx1"/>
            </w14:solidFill>
          </w14:textFill>
        </w:rPr>
      </w:pPr>
      <w:bookmarkStart w:id="131" w:name="_Toc14580"/>
      <w:bookmarkStart w:id="132" w:name="_Toc101775127"/>
      <w:bookmarkStart w:id="133" w:name="_Toc41723931"/>
      <w:bookmarkStart w:id="134" w:name="_Toc101951265"/>
      <w:bookmarkStart w:id="135" w:name="_Toc98579606"/>
      <w:bookmarkStart w:id="136" w:name="_Toc42329464"/>
      <w:bookmarkStart w:id="137" w:name="_Toc42394668"/>
      <w:bookmarkStart w:id="138" w:name="_Toc98580289"/>
      <w:bookmarkStart w:id="139" w:name="_Toc441673387"/>
      <w:bookmarkStart w:id="140" w:name="_Toc42394669"/>
      <w:bookmarkStart w:id="141" w:name="_Toc42394513"/>
      <w:bookmarkStart w:id="142" w:name="_Toc42315183"/>
      <w:bookmarkStart w:id="143" w:name="_Toc98579065"/>
      <w:bookmarkStart w:id="144" w:name="_Toc41884701"/>
      <w:bookmarkStart w:id="145" w:name="_Toc101771374"/>
      <w:bookmarkStart w:id="146" w:name="_Toc98579007"/>
      <w:bookmarkStart w:id="147" w:name="_Toc101843127"/>
      <w:bookmarkStart w:id="148" w:name="_Toc42394512"/>
      <w:bookmarkStart w:id="149" w:name="_Toc42315985"/>
      <w:bookmarkStart w:id="150" w:name="_Toc42313167"/>
      <w:bookmarkStart w:id="151" w:name="_Toc42316808"/>
      <w:bookmarkStart w:id="152" w:name="_Toc50276153"/>
      <w:r>
        <w:rPr>
          <w:rFonts w:hint="eastAsia" w:ascii="宋体" w:hAnsi="宋体"/>
          <w:b/>
          <w:bCs/>
          <w:color w:val="000000" w:themeColor="text1"/>
          <w:sz w:val="24"/>
          <w:szCs w:val="24"/>
          <w:highlight w:val="none"/>
          <w14:textFill>
            <w14:solidFill>
              <w14:schemeClr w14:val="tx1"/>
            </w14:solidFill>
          </w14:textFill>
        </w:rPr>
        <w:t>交易方式</w:t>
      </w:r>
      <w:bookmarkEnd w:id="131"/>
    </w:p>
    <w:p>
      <w:pPr>
        <w:spacing w:line="360" w:lineRule="auto"/>
        <w:ind w:firstLine="424" w:firstLineChars="177"/>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须知悉本项目采购需求中的所有指标并承诺满足上述所有指标的前提下，在规定时间内以报价方式进行交易。竞价文件须实质上响应本项目采购需求中的所有指标，采购人和监管部门现场对竞投人样品进行审查，若样品指标不满足采购需求，视同无效报价。根据采购需求，在报价有效的前提下，报价最低的竞投人被确定为中标人，该最低报价被确定为采购成交价格；当报价高于最高限价的，视同无效报价；若整个采购活动过程中没有产生有效报价的，则采购人收回采购项目。</w:t>
      </w:r>
    </w:p>
    <w:p>
      <w:pPr>
        <w:widowControl w:val="0"/>
        <w:numPr>
          <w:ilvl w:val="0"/>
          <w:numId w:val="14"/>
        </w:numPr>
        <w:spacing w:line="360" w:lineRule="auto"/>
        <w:ind w:left="567" w:hanging="27"/>
        <w:outlineLvl w:val="1"/>
        <w:rPr>
          <w:rFonts w:ascii="宋体" w:hAnsi="宋体"/>
          <w:b/>
          <w:color w:val="000000" w:themeColor="text1"/>
          <w:sz w:val="24"/>
          <w:szCs w:val="24"/>
          <w:highlight w:val="none"/>
          <w14:textFill>
            <w14:solidFill>
              <w14:schemeClr w14:val="tx1"/>
            </w14:solidFill>
          </w14:textFill>
        </w:rPr>
      </w:pPr>
      <w:bookmarkStart w:id="153" w:name="_Toc23063"/>
      <w:r>
        <w:rPr>
          <w:rFonts w:hint="eastAsia" w:ascii="宋体" w:hAnsi="宋体"/>
          <w:b/>
          <w:bCs/>
          <w:color w:val="000000" w:themeColor="text1"/>
          <w:sz w:val="24"/>
          <w:szCs w:val="24"/>
          <w:highlight w:val="none"/>
          <w14:textFill>
            <w14:solidFill>
              <w14:schemeClr w14:val="tx1"/>
            </w14:solidFill>
          </w14:textFill>
        </w:rPr>
        <w:t>报价</w:t>
      </w:r>
      <w:r>
        <w:rPr>
          <w:rFonts w:hint="eastAsia" w:ascii="宋体" w:hAnsi="宋体"/>
          <w:b/>
          <w:color w:val="000000" w:themeColor="text1"/>
          <w:sz w:val="24"/>
          <w:szCs w:val="24"/>
          <w:highlight w:val="none"/>
          <w14:textFill>
            <w14:solidFill>
              <w14:schemeClr w14:val="tx1"/>
            </w14:solidFill>
          </w14:textFill>
        </w:rPr>
        <w:t>程序</w:t>
      </w:r>
      <w:bookmarkEnd w:id="153"/>
    </w:p>
    <w:p>
      <w:pPr>
        <w:spacing w:line="360" w:lineRule="auto"/>
        <w:ind w:firstLine="566" w:firstLineChars="236"/>
        <w:rPr>
          <w:rFonts w:ascii="宋体" w:hAnsi="宋体"/>
          <w:sz w:val="24"/>
          <w:szCs w:val="22"/>
          <w:highlight w:val="none"/>
        </w:rPr>
      </w:pPr>
      <w:r>
        <w:rPr>
          <w:rFonts w:hint="eastAsia" w:ascii="宋体" w:hAnsi="宋体"/>
          <w:sz w:val="24"/>
          <w:szCs w:val="22"/>
          <w:highlight w:val="none"/>
        </w:rPr>
        <w:t>（一）本次竞价采用多次报价形式。广州农村产权交易所有限公司按采购公告规定的时间进行开标，竞投人在投标截止时间后一个小时内进行竞价文件解密。</w:t>
      </w:r>
    </w:p>
    <w:p>
      <w:pPr>
        <w:spacing w:line="360" w:lineRule="auto"/>
        <w:ind w:firstLine="566" w:firstLineChars="236"/>
        <w:rPr>
          <w:rFonts w:ascii="宋体" w:hAnsi="宋体"/>
          <w:sz w:val="24"/>
          <w:szCs w:val="22"/>
          <w:highlight w:val="none"/>
        </w:rPr>
      </w:pPr>
      <w:r>
        <w:rPr>
          <w:rFonts w:hint="eastAsia" w:ascii="宋体" w:hAnsi="宋体"/>
          <w:sz w:val="24"/>
          <w:szCs w:val="22"/>
          <w:highlight w:val="none"/>
        </w:rPr>
        <w:t>（二）解密时间截止后，广州农村产权交易所有限公司电子开标系统自动提取所有竞价文件，</w:t>
      </w:r>
      <w:bookmarkStart w:id="154" w:name="EB74a80698785b47259b78187d7d8a7792"/>
      <w:r>
        <w:rPr>
          <w:rFonts w:hint="eastAsia" w:ascii="宋体" w:hAnsi="宋体"/>
          <w:sz w:val="24"/>
          <w:szCs w:val="22"/>
          <w:highlight w:val="none"/>
        </w:rPr>
        <w:t>获取</w:t>
      </w:r>
      <w:bookmarkEnd w:id="154"/>
      <w:r>
        <w:rPr>
          <w:rFonts w:hint="eastAsia" w:ascii="宋体" w:hAnsi="宋体"/>
          <w:sz w:val="24"/>
          <w:szCs w:val="22"/>
          <w:highlight w:val="none"/>
        </w:rPr>
        <w:t>竞价文件提交及解密情况。</w:t>
      </w:r>
    </w:p>
    <w:p>
      <w:pPr>
        <w:spacing w:line="360" w:lineRule="auto"/>
        <w:ind w:firstLine="566" w:firstLineChars="236"/>
        <w:rPr>
          <w:rFonts w:ascii="宋体" w:hAnsi="宋体"/>
          <w:sz w:val="24"/>
          <w:szCs w:val="22"/>
          <w:highlight w:val="none"/>
        </w:rPr>
      </w:pPr>
      <w:r>
        <w:rPr>
          <w:rFonts w:hint="eastAsia" w:ascii="宋体" w:hAnsi="宋体"/>
          <w:sz w:val="24"/>
          <w:szCs w:val="22"/>
          <w:highlight w:val="none"/>
        </w:rPr>
        <w:t>（三）电子开标系统自动记录</w:t>
      </w:r>
      <w:bookmarkStart w:id="155" w:name="EB0eef20bc7aa647bc878bcaa8e4547818"/>
      <w:r>
        <w:rPr>
          <w:rFonts w:hint="eastAsia" w:ascii="宋体" w:hAnsi="宋体"/>
          <w:sz w:val="24"/>
          <w:szCs w:val="22"/>
          <w:highlight w:val="none"/>
        </w:rPr>
        <w:t>投标</w:t>
      </w:r>
      <w:bookmarkEnd w:id="155"/>
      <w:r>
        <w:rPr>
          <w:rFonts w:hint="eastAsia" w:ascii="宋体" w:hAnsi="宋体"/>
          <w:sz w:val="24"/>
          <w:szCs w:val="22"/>
          <w:highlight w:val="none"/>
        </w:rPr>
        <w:t>文件提交及解密情况。因竞投人原因造成竞价文件未提交成功的、未解密的、无法导入电子开标系统的，作无效投标处理。</w:t>
      </w:r>
    </w:p>
    <w:p>
      <w:pPr>
        <w:spacing w:line="360" w:lineRule="auto"/>
        <w:ind w:firstLine="566" w:firstLineChars="236"/>
        <w:rPr>
          <w:rFonts w:ascii="宋体" w:hAnsi="宋体"/>
          <w:sz w:val="24"/>
          <w:szCs w:val="22"/>
          <w:highlight w:val="none"/>
        </w:rPr>
      </w:pPr>
      <w:r>
        <w:rPr>
          <w:rFonts w:hint="eastAsia" w:ascii="宋体" w:hAnsi="宋体"/>
          <w:sz w:val="24"/>
          <w:szCs w:val="22"/>
          <w:highlight w:val="none"/>
        </w:rPr>
        <w:t>（四）逾时提交或撤回的竞价文件将不予以解密。</w:t>
      </w:r>
    </w:p>
    <w:p>
      <w:pPr>
        <w:spacing w:line="360" w:lineRule="auto"/>
        <w:ind w:firstLine="566" w:firstLineChars="236"/>
        <w:rPr>
          <w:rFonts w:ascii="宋体" w:hAnsi="宋体"/>
          <w:sz w:val="24"/>
          <w:szCs w:val="22"/>
          <w:highlight w:val="none"/>
        </w:rPr>
      </w:pPr>
      <w:r>
        <w:rPr>
          <w:rFonts w:hint="eastAsia" w:ascii="宋体" w:hAnsi="宋体"/>
          <w:sz w:val="24"/>
          <w:szCs w:val="22"/>
          <w:highlight w:val="none"/>
        </w:rPr>
        <w:t>（五）如出现两个或以上有效、相同的最低报价时，由上述报价相同的竞投人线上再次进行第二轮报价（再次报价时，需竞投人登录系统提交报价），不提交者视为其自愿放弃。第二轮报价必须低于该竞投人的第一轮报价，否则视为无效报价。若第二轮报价仍出现相同最低报价的，则按《现场摇珠操作程序》（见附件1）确定最低报价的竞投人。</w:t>
      </w:r>
    </w:p>
    <w:p>
      <w:pPr>
        <w:spacing w:line="360" w:lineRule="auto"/>
        <w:ind w:firstLine="566" w:firstLineChars="236"/>
        <w:rPr>
          <w:rFonts w:ascii="宋体" w:hAnsi="宋体"/>
          <w:sz w:val="24"/>
          <w:szCs w:val="22"/>
          <w:highlight w:val="none"/>
        </w:rPr>
      </w:pPr>
      <w:r>
        <w:rPr>
          <w:rFonts w:hint="eastAsia" w:ascii="宋体" w:hAnsi="宋体"/>
          <w:sz w:val="24"/>
          <w:szCs w:val="22"/>
          <w:highlight w:val="none"/>
        </w:rPr>
        <w:t>（六）第二轮报价开始时间为采购人确定开启谈判环节起30分钟截止。逾期二次报价的竞投人视为自动放弃。</w:t>
      </w:r>
    </w:p>
    <w:p>
      <w:pPr>
        <w:spacing w:line="360" w:lineRule="auto"/>
        <w:ind w:firstLine="566" w:firstLineChars="236"/>
        <w:rPr>
          <w:highlight w:val="none"/>
        </w:rPr>
      </w:pPr>
      <w:r>
        <w:rPr>
          <w:rFonts w:hint="eastAsia" w:ascii="宋体" w:hAnsi="宋体"/>
          <w:sz w:val="24"/>
          <w:szCs w:val="22"/>
          <w:highlight w:val="none"/>
        </w:rPr>
        <w:t>（七）采购代理机构将记录开标的有关内容，存档备查。</w:t>
      </w:r>
    </w:p>
    <w:p>
      <w:pPr>
        <w:widowControl w:val="0"/>
        <w:spacing w:line="360" w:lineRule="auto"/>
        <w:ind w:firstLine="482" w:firstLineChars="200"/>
        <w:outlineLvl w:val="1"/>
        <w:rPr>
          <w:rFonts w:ascii="宋体" w:hAnsi="宋体"/>
          <w:b/>
          <w:color w:val="000000" w:themeColor="text1"/>
          <w:sz w:val="24"/>
          <w:szCs w:val="24"/>
          <w:highlight w:val="none"/>
          <w14:textFill>
            <w14:solidFill>
              <w14:schemeClr w14:val="tx1"/>
            </w14:solidFill>
          </w14:textFill>
        </w:rPr>
      </w:pPr>
      <w:bookmarkStart w:id="156" w:name="_Toc10838"/>
      <w:r>
        <w:rPr>
          <w:rFonts w:hint="eastAsia" w:ascii="宋体" w:hAnsi="宋体"/>
          <w:b/>
          <w:color w:val="000000" w:themeColor="text1"/>
          <w:sz w:val="24"/>
          <w:szCs w:val="24"/>
          <w:highlight w:val="none"/>
          <w14:textFill>
            <w14:solidFill>
              <w14:schemeClr w14:val="tx1"/>
            </w14:solidFill>
          </w14:textFill>
        </w:rPr>
        <w:t>三、定标</w:t>
      </w:r>
      <w:bookmarkEnd w:id="156"/>
    </w:p>
    <w:p>
      <w:pPr>
        <w:pStyle w:val="5"/>
        <w:numPr>
          <w:ilvl w:val="1"/>
          <w:numId w:val="15"/>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凡发现竞投人有下列行为之一的，将移交有关部门依法处理。</w:t>
      </w:r>
    </w:p>
    <w:p>
      <w:pPr>
        <w:numPr>
          <w:ilvl w:val="2"/>
          <w:numId w:val="16"/>
        </w:numPr>
        <w:tabs>
          <w:tab w:val="left" w:pos="720"/>
        </w:tabs>
        <w:spacing w:line="360" w:lineRule="auto"/>
        <w:ind w:left="1417" w:hanging="106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提供虚假材料谋取中标的；</w:t>
      </w:r>
    </w:p>
    <w:p>
      <w:pPr>
        <w:numPr>
          <w:ilvl w:val="2"/>
          <w:numId w:val="16"/>
        </w:numPr>
        <w:tabs>
          <w:tab w:val="left" w:pos="720"/>
        </w:tabs>
        <w:spacing w:line="360" w:lineRule="auto"/>
        <w:ind w:left="1417" w:hanging="106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采取不正当手段诋毁、排挤其他竞投人的；</w:t>
      </w:r>
    </w:p>
    <w:p>
      <w:pPr>
        <w:numPr>
          <w:ilvl w:val="2"/>
          <w:numId w:val="16"/>
        </w:numPr>
        <w:tabs>
          <w:tab w:val="left" w:pos="720"/>
        </w:tabs>
        <w:spacing w:line="360" w:lineRule="auto"/>
        <w:ind w:left="1417" w:hanging="106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与采购人、其他竞投人工作人员恶意串通的；</w:t>
      </w:r>
    </w:p>
    <w:p>
      <w:pPr>
        <w:numPr>
          <w:ilvl w:val="2"/>
          <w:numId w:val="16"/>
        </w:numPr>
        <w:tabs>
          <w:tab w:val="left" w:pos="720"/>
        </w:tabs>
        <w:spacing w:line="360" w:lineRule="auto"/>
        <w:ind w:left="1417" w:hanging="106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向采购人工作人员行贿或者提供其他不正当利益的；</w:t>
      </w:r>
    </w:p>
    <w:p>
      <w:pPr>
        <w:numPr>
          <w:ilvl w:val="2"/>
          <w:numId w:val="16"/>
        </w:numPr>
        <w:tabs>
          <w:tab w:val="left" w:pos="720"/>
        </w:tabs>
        <w:spacing w:line="360" w:lineRule="auto"/>
        <w:ind w:left="1417" w:hanging="106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在采购过程中与采购人进行协商谈判的；</w:t>
      </w:r>
    </w:p>
    <w:p>
      <w:pPr>
        <w:numPr>
          <w:ilvl w:val="2"/>
          <w:numId w:val="16"/>
        </w:numPr>
        <w:tabs>
          <w:tab w:val="left" w:pos="720"/>
        </w:tabs>
        <w:spacing w:line="360" w:lineRule="auto"/>
        <w:ind w:hanging="1058"/>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拒绝有关部门监督检查或者提供虚假情况的；</w:t>
      </w:r>
    </w:p>
    <w:p>
      <w:pPr>
        <w:numPr>
          <w:ilvl w:val="2"/>
          <w:numId w:val="16"/>
        </w:numPr>
        <w:tabs>
          <w:tab w:val="left" w:pos="720"/>
        </w:tabs>
        <w:spacing w:line="360" w:lineRule="auto"/>
        <w:ind w:hanging="1058"/>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有法律、法规规定的其他损害采购人利益和社会公共利益情形的。</w:t>
      </w:r>
    </w:p>
    <w:p>
      <w:pPr>
        <w:pStyle w:val="5"/>
        <w:numPr>
          <w:ilvl w:val="1"/>
          <w:numId w:val="15"/>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采购代理机构在采购结束之日起2个工作日内将评审报告及《确认采购结果的函》送采购人。第一名竞投人放弃或被依法确认供应资格无效的，采购人可以按顺序选择候补竞投人。</w:t>
      </w:r>
    </w:p>
    <w:p>
      <w:pPr>
        <w:pStyle w:val="5"/>
        <w:numPr>
          <w:ilvl w:val="1"/>
          <w:numId w:val="15"/>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采购结果确认后，采购人将成交结果在采购信息发布网站上进行公告。不在中标名单之列者即为落标人，采购人不再以其它方式另行通知。</w:t>
      </w:r>
    </w:p>
    <w:p>
      <w:pPr>
        <w:pStyle w:val="5"/>
        <w:numPr>
          <w:ilvl w:val="1"/>
          <w:numId w:val="15"/>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成交结果公告后，竞投人须根据广州农村产权交易所有限公司规定缴纳交易服务费，相关缴费方式以广州农村产权交易所有限公司规定为准。竞投人在完成缴费后领取发票和《成交通知书》。《成交通知书》将作为授予合同资格的唯一合法依据。</w:t>
      </w:r>
    </w:p>
    <w:p>
      <w:pPr>
        <w:pStyle w:val="5"/>
        <w:numPr>
          <w:ilvl w:val="1"/>
          <w:numId w:val="15"/>
        </w:numPr>
        <w:tabs>
          <w:tab w:val="clear" w:pos="851"/>
        </w:tabs>
        <w:ind w:left="0" w:firstLine="4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竞投人放弃中标的，应当依法承担相应的法律责任。</w:t>
      </w:r>
    </w:p>
    <w:p>
      <w:pPr>
        <w:widowControl w:val="0"/>
        <w:spacing w:line="360" w:lineRule="auto"/>
        <w:ind w:left="540"/>
        <w:outlineLvl w:val="1"/>
        <w:rPr>
          <w:rFonts w:ascii="宋体" w:hAnsi="宋体"/>
          <w:b/>
          <w:color w:val="000000" w:themeColor="text1"/>
          <w:sz w:val="24"/>
          <w:szCs w:val="24"/>
          <w:highlight w:val="none"/>
          <w14:textFill>
            <w14:solidFill>
              <w14:schemeClr w14:val="tx1"/>
            </w14:solidFill>
          </w14:textFill>
        </w:rPr>
      </w:pPr>
      <w:bookmarkStart w:id="157" w:name="_Toc10002"/>
      <w:r>
        <w:rPr>
          <w:rFonts w:hint="eastAsia" w:ascii="宋体" w:hAnsi="宋体"/>
          <w:b/>
          <w:color w:val="000000" w:themeColor="text1"/>
          <w:sz w:val="24"/>
          <w:szCs w:val="24"/>
          <w:highlight w:val="none"/>
          <w14:textFill>
            <w14:solidFill>
              <w14:schemeClr w14:val="tx1"/>
            </w14:solidFill>
          </w14:textFill>
        </w:rPr>
        <w:t>四、签约</w:t>
      </w:r>
      <w:bookmarkEnd w:id="157"/>
    </w:p>
    <w:p>
      <w:pPr>
        <w:pStyle w:val="5"/>
        <w:tabs>
          <w:tab w:val="clear" w:pos="851"/>
        </w:tabs>
        <w:ind w:firstLine="480" w:firstLineChars="20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（一）采购人应当自《成交通知书》发出之日起三个工作日内，按照采购须知和竞投人竞价文件的约定，与竞投人签订书面合同。所签订的合同不得对采购须知和竞投人竞价文件作实质性修改。</w:t>
      </w:r>
    </w:p>
    <w:p>
      <w:pPr>
        <w:pStyle w:val="5"/>
        <w:tabs>
          <w:tab w:val="clear" w:pos="851"/>
        </w:tabs>
        <w:ind w:firstLine="480" w:firstLineChars="200"/>
        <w:rPr>
          <w:rFonts w:ascii="宋体" w:hAnsi="宋体"/>
          <w:highlight w:val="none"/>
        </w:rPr>
      </w:pPr>
      <w:r>
        <w:rPr>
          <w:rFonts w:hint="eastAsia" w:hAnsi="宋体"/>
          <w:color w:val="000000" w:themeColor="text1"/>
          <w:sz w:val="24"/>
          <w:szCs w:val="24"/>
          <w:highlight w:val="none"/>
          <w14:textFill>
            <w14:solidFill>
              <w14:schemeClr w14:val="tx1"/>
            </w14:solidFill>
          </w14:textFill>
        </w:rPr>
        <w:t>（二）采购人不得向竞投人提出任何不合理的要求，作为签订合同的条件，不得与竞投人私下订立背离合同实质性内容的协议。</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hint="eastAsia" w:ascii="宋体" w:hAnsi="宋体"/>
          <w:highlight w:val="none"/>
        </w:rPr>
        <w:br w:type="page"/>
      </w:r>
      <w:r>
        <w:rPr>
          <w:rFonts w:hint="eastAsia" w:ascii="宋体" w:hAnsi="宋体"/>
          <w:bCs/>
          <w:kern w:val="2"/>
          <w:sz w:val="24"/>
          <w:szCs w:val="24"/>
          <w:highlight w:val="none"/>
        </w:rPr>
        <w:t>附件1：</w:t>
      </w:r>
    </w:p>
    <w:p>
      <w:pPr>
        <w:widowControl w:val="0"/>
        <w:spacing w:line="600" w:lineRule="exact"/>
        <w:ind w:right="-16"/>
        <w:jc w:val="center"/>
        <w:rPr>
          <w:rFonts w:ascii="宋体" w:hAnsi="宋体"/>
          <w:b/>
          <w:bCs/>
          <w:kern w:val="2"/>
          <w:sz w:val="32"/>
          <w:szCs w:val="28"/>
          <w:highlight w:val="none"/>
        </w:rPr>
      </w:pPr>
      <w:r>
        <w:rPr>
          <w:rFonts w:hint="eastAsia" w:ascii="宋体" w:hAnsi="宋体"/>
          <w:b/>
          <w:bCs/>
          <w:kern w:val="2"/>
          <w:sz w:val="32"/>
          <w:szCs w:val="28"/>
          <w:highlight w:val="none"/>
        </w:rPr>
        <w:t>现场摇珠操作程序</w:t>
      </w:r>
    </w:p>
    <w:p>
      <w:pPr>
        <w:widowControl w:val="0"/>
        <w:spacing w:line="600" w:lineRule="exact"/>
        <w:ind w:right="-16"/>
        <w:jc w:val="center"/>
        <w:rPr>
          <w:rFonts w:ascii="宋体" w:hAnsi="宋体"/>
          <w:b/>
          <w:bCs/>
          <w:kern w:val="2"/>
          <w:sz w:val="20"/>
          <w:szCs w:val="28"/>
          <w:highlight w:val="none"/>
        </w:rPr>
      </w:pPr>
    </w:p>
    <w:p>
      <w:pPr>
        <w:widowControl w:val="0"/>
        <w:spacing w:line="360" w:lineRule="auto"/>
        <w:ind w:firstLine="540"/>
        <w:jc w:val="both"/>
        <w:rPr>
          <w:rFonts w:ascii="宋体" w:hAnsi="宋体"/>
          <w:kern w:val="2"/>
          <w:sz w:val="24"/>
          <w:szCs w:val="28"/>
          <w:highlight w:val="none"/>
        </w:rPr>
      </w:pPr>
      <w:r>
        <w:rPr>
          <w:rFonts w:hint="eastAsia" w:ascii="宋体" w:hAnsi="宋体"/>
          <w:kern w:val="2"/>
          <w:sz w:val="24"/>
          <w:szCs w:val="28"/>
          <w:highlight w:val="none"/>
        </w:rPr>
        <w:t>广州农村产权交易所有限公司受托通过公开的方式采购2022年救灾物资紧急采购项目。根据《2022年救灾物资紧急采购项目采购须知》（项目编号：GZ2022JZ10002）的要求，特制订如下摇珠方式：</w:t>
      </w:r>
    </w:p>
    <w:p>
      <w:pPr>
        <w:widowControl w:val="0"/>
        <w:spacing w:line="360" w:lineRule="auto"/>
        <w:ind w:firstLine="540"/>
        <w:jc w:val="both"/>
        <w:rPr>
          <w:rFonts w:ascii="宋体" w:hAnsi="宋体"/>
          <w:kern w:val="2"/>
          <w:sz w:val="24"/>
          <w:szCs w:val="28"/>
          <w:highlight w:val="none"/>
        </w:rPr>
      </w:pPr>
      <w:r>
        <w:rPr>
          <w:rFonts w:hint="eastAsia" w:ascii="宋体" w:hAnsi="宋体"/>
          <w:kern w:val="2"/>
          <w:sz w:val="24"/>
          <w:szCs w:val="28"/>
          <w:highlight w:val="none"/>
        </w:rPr>
        <w:t>一、本次摇珠由本司提供1至5号球共5个号码球，为体现公开、公平、公正原则，参与摇珠的竞投人在摇珠前共同对摇珠机及号码球进行检查，各方均无异议后，方可开始摇珠。</w:t>
      </w:r>
    </w:p>
    <w:p>
      <w:pPr>
        <w:widowControl w:val="0"/>
        <w:spacing w:line="360" w:lineRule="auto"/>
        <w:ind w:firstLine="540"/>
        <w:jc w:val="both"/>
        <w:rPr>
          <w:rFonts w:ascii="宋体" w:hAnsi="宋体"/>
          <w:kern w:val="2"/>
          <w:sz w:val="24"/>
          <w:szCs w:val="28"/>
          <w:highlight w:val="none"/>
        </w:rPr>
      </w:pPr>
      <w:r>
        <w:rPr>
          <w:rFonts w:hint="eastAsia" w:ascii="宋体" w:hAnsi="宋体"/>
          <w:kern w:val="2"/>
          <w:sz w:val="24"/>
          <w:szCs w:val="28"/>
          <w:highlight w:val="none"/>
        </w:rPr>
        <w:t>二、摇珠程序</w:t>
      </w:r>
    </w:p>
    <w:p>
      <w:pPr>
        <w:widowControl w:val="0"/>
        <w:spacing w:line="360" w:lineRule="auto"/>
        <w:ind w:firstLine="540"/>
        <w:jc w:val="both"/>
        <w:rPr>
          <w:rFonts w:ascii="宋体" w:hAnsi="宋体"/>
          <w:kern w:val="2"/>
          <w:sz w:val="24"/>
          <w:szCs w:val="28"/>
          <w:highlight w:val="none"/>
        </w:rPr>
      </w:pPr>
      <w:r>
        <w:rPr>
          <w:rFonts w:hint="eastAsia" w:ascii="宋体" w:hAnsi="宋体"/>
          <w:kern w:val="2"/>
          <w:sz w:val="24"/>
          <w:szCs w:val="28"/>
          <w:highlight w:val="none"/>
        </w:rPr>
        <w:t>（一）确定各竞投人代号。将1至5号球放入摇珠机内，由采购人亲自按动摇珠机按钮，按照各竞投人递交竞价文件的先后顺序抽取代号，摇出的号码为该竞投人代号（各竞投人递交竞价文件的先后顺序以《项目开标一览表》中标书上传时间为准）。</w:t>
      </w:r>
    </w:p>
    <w:p>
      <w:pPr>
        <w:widowControl w:val="0"/>
        <w:spacing w:line="360" w:lineRule="auto"/>
        <w:ind w:firstLine="540"/>
        <w:jc w:val="both"/>
        <w:rPr>
          <w:rFonts w:ascii="宋体" w:hAnsi="宋体"/>
          <w:sz w:val="20"/>
          <w:highlight w:val="none"/>
        </w:rPr>
      </w:pPr>
      <w:r>
        <w:rPr>
          <w:rFonts w:hint="eastAsia" w:ascii="宋体" w:hAnsi="宋体"/>
          <w:kern w:val="2"/>
          <w:sz w:val="24"/>
          <w:szCs w:val="28"/>
          <w:highlight w:val="none"/>
        </w:rPr>
        <w:t>（二）确定中标人。将各竞投人摇出的代号球同时放入摇珠机内，由本司操作人员按动摇珠机按钮，首先摇出的号码所对应的竞投人被确认为中标人。</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p>
    <w:p>
      <w:pPr>
        <w:pStyle w:val="2"/>
        <w:spacing w:line="360" w:lineRule="auto"/>
        <w:jc w:val="center"/>
        <w:rPr>
          <w:rFonts w:ascii="宋体" w:hAnsi="宋体"/>
          <w:b w:val="0"/>
          <w:color w:val="000000" w:themeColor="text1"/>
          <w:sz w:val="36"/>
          <w:szCs w:val="32"/>
          <w:highlight w:val="none"/>
          <w14:textFill>
            <w14:solidFill>
              <w14:schemeClr w14:val="tx1"/>
            </w14:solidFill>
          </w14:textFill>
        </w:rPr>
      </w:pPr>
      <w:bookmarkStart w:id="158" w:name="_Toc3873"/>
      <w:r>
        <w:rPr>
          <w:rFonts w:hint="eastAsia" w:ascii="宋体" w:hAnsi="宋体"/>
          <w:color w:val="000000" w:themeColor="text1"/>
          <w:sz w:val="32"/>
          <w:szCs w:val="30"/>
          <w:highlight w:val="none"/>
          <w14:textFill>
            <w14:solidFill>
              <w14:schemeClr w14:val="tx1"/>
            </w14:solidFill>
          </w14:textFill>
        </w:rPr>
        <w:t xml:space="preserve">第五章 </w:t>
      </w:r>
      <w:bookmarkStart w:id="159" w:name="_Toc41723938"/>
      <w:bookmarkStart w:id="160" w:name="_Toc38947808"/>
      <w:bookmarkStart w:id="161" w:name="_Toc41884708"/>
      <w:bookmarkStart w:id="162" w:name="_Toc42313174"/>
      <w:bookmarkStart w:id="163" w:name="_Toc40762376"/>
      <w:r>
        <w:rPr>
          <w:rFonts w:hint="eastAsia" w:ascii="宋体" w:hAnsi="宋体"/>
          <w:color w:val="000000" w:themeColor="text1"/>
          <w:sz w:val="32"/>
          <w:szCs w:val="30"/>
          <w:highlight w:val="none"/>
          <w14:textFill>
            <w14:solidFill>
              <w14:schemeClr w14:val="tx1"/>
            </w14:solidFill>
          </w14:textFill>
        </w:rPr>
        <w:t>竞价文件格式</w:t>
      </w:r>
      <w:bookmarkEnd w:id="158"/>
      <w:bookmarkEnd w:id="159"/>
      <w:bookmarkEnd w:id="160"/>
      <w:bookmarkEnd w:id="161"/>
      <w:bookmarkEnd w:id="162"/>
      <w:bookmarkEnd w:id="163"/>
    </w:p>
    <w:p>
      <w:pPr>
        <w:pStyle w:val="4"/>
        <w:spacing w:line="360" w:lineRule="auto"/>
        <w:ind w:firstLine="482" w:firstLineChars="200"/>
        <w:rPr>
          <w:rFonts w:ascii="宋体" w:hAnsi="宋体"/>
          <w:b/>
          <w:bCs/>
          <w:color w:val="000000" w:themeColor="text1"/>
          <w:sz w:val="24"/>
          <w:highlight w:val="none"/>
          <w:u w:val="single"/>
          <w:lang w:val="zh-CN"/>
          <w14:textFill>
            <w14:solidFill>
              <w14:schemeClr w14:val="tx1"/>
            </w14:solidFill>
          </w14:textFill>
        </w:rPr>
      </w:pPr>
      <w:bookmarkStart w:id="164" w:name="_Toc42394520"/>
      <w:bookmarkStart w:id="165" w:name="_Toc98580295"/>
      <w:bookmarkStart w:id="166" w:name="_Toc41884710"/>
      <w:bookmarkStart w:id="167" w:name="_Toc38947810"/>
      <w:bookmarkStart w:id="168" w:name="_Toc42394676"/>
      <w:bookmarkStart w:id="169" w:name="_Toc50276168"/>
      <w:bookmarkStart w:id="170" w:name="_Toc101951272"/>
      <w:bookmarkStart w:id="171" w:name="_Toc41723939"/>
      <w:bookmarkStart w:id="172" w:name="_Toc42313176"/>
      <w:bookmarkStart w:id="173" w:name="_Toc42313175"/>
      <w:bookmarkStart w:id="174" w:name="_Toc38947809"/>
      <w:bookmarkStart w:id="175" w:name="_Toc101775134"/>
      <w:bookmarkStart w:id="176" w:name="_Toc101771381"/>
      <w:bookmarkStart w:id="177" w:name="_Toc41723940"/>
      <w:bookmarkStart w:id="178" w:name="_Toc98579013"/>
      <w:bookmarkStart w:id="179" w:name="_Toc98579612"/>
      <w:bookmarkStart w:id="180" w:name="_Toc41884709"/>
      <w:bookmarkStart w:id="181" w:name="_Toc175106977"/>
      <w:bookmarkStart w:id="182" w:name="_Toc40762377"/>
      <w:bookmarkStart w:id="183" w:name="_Toc42394675"/>
      <w:bookmarkStart w:id="184" w:name="_Toc175644396"/>
      <w:bookmarkStart w:id="185" w:name="_Toc101843134"/>
      <w:bookmarkStart w:id="186" w:name="_Toc98579071"/>
      <w:bookmarkStart w:id="187" w:name="_Toc40762378"/>
      <w:bookmarkStart w:id="188" w:name="_Toc50276167"/>
      <w:bookmarkStart w:id="189" w:name="_Toc42394519"/>
      <w:r>
        <w:rPr>
          <w:rFonts w:hint="eastAsia" w:ascii="宋体" w:hAnsi="宋体"/>
          <w:b/>
          <w:bCs/>
          <w:color w:val="000000" w:themeColor="text1"/>
          <w:sz w:val="24"/>
          <w:szCs w:val="24"/>
          <w:highlight w:val="none"/>
          <w:u w:val="single"/>
          <w14:textFill>
            <w14:solidFill>
              <w14:schemeClr w14:val="tx1"/>
            </w14:solidFill>
          </w14:textFill>
        </w:rPr>
        <w:t>竞价文件</w:t>
      </w:r>
      <w:r>
        <w:rPr>
          <w:rFonts w:hint="eastAsia" w:ascii="宋体" w:hAnsi="宋体"/>
          <w:b/>
          <w:bCs/>
          <w:color w:val="000000" w:themeColor="text1"/>
          <w:sz w:val="24"/>
          <w:highlight w:val="none"/>
          <w:u w:val="single"/>
          <w:lang w:val="zh-CN"/>
          <w14:textFill>
            <w14:solidFill>
              <w14:schemeClr w14:val="tx1"/>
            </w14:solidFill>
          </w14:textFill>
        </w:rPr>
        <w:t>包括但不限于以下组成内容，请按顺序制作并编写页码，本章有提供格式文件的请按格式要求提交。</w:t>
      </w:r>
    </w:p>
    <w:p>
      <w:pPr>
        <w:pStyle w:val="4"/>
        <w:spacing w:line="360" w:lineRule="auto"/>
        <w:ind w:firstLine="482" w:firstLineChars="200"/>
        <w:rPr>
          <w:rFonts w:ascii="宋体" w:hAnsi="宋体"/>
          <w:b/>
          <w:bCs/>
          <w:color w:val="000000" w:themeColor="text1"/>
          <w:sz w:val="24"/>
          <w:highlight w:val="none"/>
          <w:u w:val="single"/>
          <w:lang w:val="zh-CN"/>
          <w14:textFill>
            <w14:solidFill>
              <w14:schemeClr w14:val="tx1"/>
            </w14:solidFill>
          </w14:textFill>
        </w:rPr>
      </w:pPr>
    </w:p>
    <w:p>
      <w:pPr>
        <w:pStyle w:val="175"/>
        <w:rPr>
          <w:bCs/>
          <w:highlight w:val="none"/>
          <w:lang w:val="zh-CN"/>
        </w:rPr>
      </w:pPr>
      <w:r>
        <w:rPr>
          <w:rFonts w:hint="eastAsia"/>
          <w:highlight w:val="none"/>
        </w:rPr>
        <w:t>竞价文件中，均须加盖公章或骑缝章</w:t>
      </w:r>
    </w:p>
    <w:tbl>
      <w:tblPr>
        <w:tblStyle w:val="38"/>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0" w:type="dxa"/>
            <w:shd w:val="clear" w:color="auto" w:fill="D9D9D9"/>
            <w:vAlign w:val="center"/>
          </w:tcPr>
          <w:p>
            <w:pPr>
              <w:pStyle w:val="4"/>
              <w:spacing w:line="360" w:lineRule="auto"/>
              <w:ind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序号</w:t>
            </w:r>
          </w:p>
        </w:tc>
        <w:tc>
          <w:tcPr>
            <w:tcW w:w="8755" w:type="dxa"/>
            <w:shd w:val="clear" w:color="auto" w:fill="D9D9D9"/>
            <w:vAlign w:val="center"/>
          </w:tcPr>
          <w:p>
            <w:pPr>
              <w:pStyle w:val="4"/>
              <w:spacing w:line="360" w:lineRule="auto"/>
              <w:ind w:firstLine="0"/>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w:t>
            </w:r>
            <w:r>
              <w:rPr>
                <w:rFonts w:hint="eastAsia" w:ascii="宋体" w:hAnsi="宋体"/>
                <w:bCs/>
                <w:color w:val="000000" w:themeColor="text1"/>
                <w:sz w:val="24"/>
                <w:szCs w:val="24"/>
                <w:highlight w:val="none"/>
                <w14:textFill>
                  <w14:solidFill>
                    <w14:schemeClr w14:val="tx1"/>
                  </w14:solidFill>
                </w14:textFill>
              </w:rPr>
              <w:t>无重大违法记录声明》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《信用记录承诺函》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《公平竞争承诺书》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★《资格声明函》的附件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法定代表人证明书及法定代表人身份证复印件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授权委托书及授权委托人身份证复印件（若</w:t>
            </w:r>
            <w:r>
              <w:rPr>
                <w:rFonts w:ascii="宋体" w:hAnsi="宋体"/>
                <w:color w:val="000000" w:themeColor="text1"/>
                <w:sz w:val="24"/>
                <w:highlight w:val="none"/>
                <w14:textFill>
                  <w14:solidFill>
                    <w14:schemeClr w14:val="tx1"/>
                  </w14:solidFill>
                </w14:textFill>
              </w:rPr>
              <w:t>法定代表人亲自办理投标事宜的，无需提交本授权委托证明书</w:t>
            </w:r>
            <w:r>
              <w:rPr>
                <w:rFonts w:hint="eastAsia" w:ascii="宋体" w:hAnsi="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highlight w:val="none"/>
                <w14:textFill>
                  <w14:solidFill>
                    <w14:schemeClr w14:val="tx1"/>
                  </w14:solidFill>
                </w14:textFill>
              </w:rPr>
            </w:pPr>
            <w:bookmarkStart w:id="190" w:name="_Toc73453732"/>
            <w:r>
              <w:rPr>
                <w:rFonts w:ascii="宋体" w:hAnsi="宋体"/>
                <w:color w:val="000000" w:themeColor="text1"/>
                <w:sz w:val="24"/>
                <w:highlight w:val="none"/>
                <w14:textFill>
                  <w14:solidFill>
                    <w14:schemeClr w14:val="tx1"/>
                  </w14:solidFill>
                </w14:textFill>
              </w:rPr>
              <w:t>总公司投标授权书（分支机构适用）</w:t>
            </w:r>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《实质性响应条款一览表》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《样品清单》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tcPr>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bCs/>
                <w:color w:val="000000" w:themeColor="text1"/>
                <w:sz w:val="24"/>
                <w:szCs w:val="24"/>
                <w:highlight w:val="none"/>
                <w14:textFill>
                  <w14:solidFill>
                    <w14:schemeClr w14:val="tx1"/>
                  </w14:solidFill>
                </w14:textFill>
              </w:rPr>
              <w:t>★</w:t>
            </w:r>
            <w:r>
              <w:rPr>
                <w:rFonts w:hint="eastAsia" w:ascii="宋体" w:hAnsi="宋体"/>
                <w:bCs/>
                <w:color w:val="000000" w:themeColor="text1"/>
                <w:sz w:val="24"/>
                <w:szCs w:val="24"/>
                <w:highlight w:val="none"/>
                <w:lang w:val="en-GB"/>
                <w14:textFill>
                  <w14:solidFill>
                    <w14:schemeClr w14:val="tx1"/>
                  </w14:solidFill>
                </w14:textFill>
              </w:rPr>
              <w:t>采购代理服务费承诺书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90" w:type="dxa"/>
            <w:vAlign w:val="center"/>
          </w:tcPr>
          <w:p>
            <w:pPr>
              <w:pStyle w:val="4"/>
              <w:numPr>
                <w:ilvl w:val="0"/>
                <w:numId w:val="17"/>
              </w:numPr>
              <w:spacing w:line="360" w:lineRule="auto"/>
              <w:jc w:val="center"/>
              <w:rPr>
                <w:rFonts w:ascii="宋体" w:hAnsi="宋体"/>
                <w:color w:val="000000" w:themeColor="text1"/>
                <w:sz w:val="24"/>
                <w:szCs w:val="24"/>
                <w:highlight w:val="none"/>
                <w14:textFill>
                  <w14:solidFill>
                    <w14:schemeClr w14:val="tx1"/>
                  </w14:solidFill>
                </w14:textFill>
              </w:rPr>
            </w:pPr>
          </w:p>
        </w:tc>
        <w:tc>
          <w:tcPr>
            <w:tcW w:w="8755" w:type="dxa"/>
            <w:vAlign w:val="center"/>
          </w:tcPr>
          <w:p>
            <w:pPr>
              <w:spacing w:line="360" w:lineRule="auto"/>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竞投人认为有必要说明的其他资料</w:t>
            </w:r>
          </w:p>
        </w:tc>
      </w:tr>
    </w:tbl>
    <w:p>
      <w:pPr>
        <w:spacing w:line="360" w:lineRule="auto"/>
        <w:rPr>
          <w:rFonts w:ascii="宋体" w:hAnsi="宋体"/>
          <w:b/>
          <w:color w:val="000000" w:themeColor="text1"/>
          <w:sz w:val="24"/>
          <w:szCs w:val="24"/>
          <w:highlight w:val="none"/>
          <w:lang w:val="en-GB"/>
          <w14:textFill>
            <w14:solidFill>
              <w14:schemeClr w14:val="tx1"/>
            </w14:solidFill>
          </w14:textFill>
        </w:rPr>
      </w:pPr>
      <w:r>
        <w:rPr>
          <w:rFonts w:hint="eastAsia" w:ascii="宋体" w:hAnsi="宋体"/>
          <w:b/>
          <w:color w:val="000000" w:themeColor="text1"/>
          <w:sz w:val="24"/>
          <w:szCs w:val="24"/>
          <w:highlight w:val="none"/>
          <w:lang w:val="en-GB"/>
          <w14:textFill>
            <w14:solidFill>
              <w14:schemeClr w14:val="tx1"/>
            </w14:solidFill>
          </w14:textFill>
        </w:rPr>
        <w:br w:type="page"/>
      </w:r>
    </w:p>
    <w:p>
      <w:pPr>
        <w:spacing w:line="360" w:lineRule="auto"/>
        <w:jc w:val="center"/>
        <w:rPr>
          <w:rFonts w:ascii="宋体" w:hAnsi="宋体"/>
          <w:b/>
          <w:bCs/>
          <w:color w:val="000000" w:themeColor="text1"/>
          <w:sz w:val="32"/>
          <w:szCs w:val="28"/>
          <w:highlight w:val="none"/>
          <w:lang w:val="zh-CN"/>
          <w14:textFill>
            <w14:solidFill>
              <w14:schemeClr w14:val="tx1"/>
            </w14:solidFill>
          </w14:textFill>
        </w:rPr>
      </w:pPr>
      <w:bookmarkStart w:id="191" w:name="_Hlk59025834"/>
      <w:r>
        <w:rPr>
          <w:rFonts w:ascii="宋体" w:hAnsi="宋体"/>
          <w:b/>
          <w:bCs/>
          <w:color w:val="000000" w:themeColor="text1"/>
          <w:sz w:val="32"/>
          <w:szCs w:val="28"/>
          <w:highlight w:val="none"/>
          <w14:textFill>
            <w14:solidFill>
              <w14:schemeClr w14:val="tx1"/>
            </w14:solidFill>
          </w14:textFill>
        </w:rPr>
        <w:t>★</w:t>
      </w:r>
      <w:r>
        <w:rPr>
          <w:rFonts w:hint="eastAsia" w:ascii="宋体" w:hAnsi="宋体"/>
          <w:b/>
          <w:bCs/>
          <w:color w:val="000000" w:themeColor="text1"/>
          <w:sz w:val="32"/>
          <w:szCs w:val="28"/>
          <w:highlight w:val="none"/>
          <w14:textFill>
            <w14:solidFill>
              <w14:schemeClr w14:val="tx1"/>
            </w14:solidFill>
          </w14:textFill>
        </w:rPr>
        <w:t>无重大违法记录声明</w:t>
      </w:r>
    </w:p>
    <w:bookmarkEnd w:id="191"/>
    <w:p>
      <w:pPr>
        <w:spacing w:line="360" w:lineRule="auto"/>
        <w:rPr>
          <w:rFonts w:ascii="宋体" w:hAnsi="宋体"/>
          <w:color w:val="000000" w:themeColor="text1"/>
          <w:sz w:val="24"/>
          <w:szCs w:val="21"/>
          <w:highlight w:val="none"/>
          <w:shd w:val="clear" w:color="auto" w:fill="FFFFFF"/>
          <w14:textFill>
            <w14:solidFill>
              <w14:schemeClr w14:val="tx1"/>
            </w14:solidFill>
          </w14:textFill>
        </w:rPr>
      </w:pPr>
    </w:p>
    <w:p>
      <w:pPr>
        <w:spacing w:line="360" w:lineRule="auto"/>
        <w:rPr>
          <w:rFonts w:ascii="宋体" w:hAnsi="宋体"/>
          <w:b/>
          <w:bCs/>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致：</w:t>
      </w:r>
      <w:r>
        <w:rPr>
          <w:rFonts w:hint="eastAsia" w:ascii="宋体" w:hAnsi="宋体"/>
          <w:b/>
          <w:bCs/>
          <w:color w:val="000000" w:themeColor="text1"/>
          <w:sz w:val="24"/>
          <w:szCs w:val="21"/>
          <w:highlight w:val="none"/>
          <w:shd w:val="clear" w:color="auto" w:fill="FFFFFF"/>
          <w14:textFill>
            <w14:solidFill>
              <w14:schemeClr w14:val="tx1"/>
            </w14:solidFill>
          </w14:textFill>
        </w:rPr>
        <w:t>广州市储备粮管理中心/广州农村产权交易所有限公司</w:t>
      </w:r>
    </w:p>
    <w:p>
      <w:pPr>
        <w:spacing w:line="360" w:lineRule="auto"/>
        <w:ind w:firstLine="480" w:firstLineChars="200"/>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我方目前未被“全国企业信用信息公示系统”（网址：</w:t>
      </w:r>
      <w:r>
        <w:rPr>
          <w:rFonts w:hint="eastAsia" w:ascii="宋体" w:hAnsi="宋体"/>
          <w:highlight w:val="none"/>
        </w:rPr>
        <w:t>http://www.gsxt.gov.cn/</w:t>
      </w:r>
      <w:r>
        <w:rPr>
          <w:rFonts w:hint="eastAsia" w:ascii="宋体" w:hAnsi="宋体"/>
          <w:color w:val="000000" w:themeColor="text1"/>
          <w:kern w:val="2"/>
          <w:sz w:val="24"/>
          <w:szCs w:val="24"/>
          <w:highlight w:val="none"/>
          <w:lang w:val="en-GB"/>
          <w14:textFill>
            <w14:solidFill>
              <w14:schemeClr w14:val="tx1"/>
            </w14:solidFill>
          </w14:textFill>
        </w:rPr>
        <w:t>）</w:t>
      </w:r>
    </w:p>
    <w:p>
      <w:pPr>
        <w:spacing w:line="360" w:lineRule="auto"/>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列入经营异常名录和严重违法企业名单。</w:t>
      </w:r>
    </w:p>
    <w:p>
      <w:pPr>
        <w:spacing w:line="360" w:lineRule="auto"/>
        <w:ind w:firstLine="480" w:firstLineChars="200"/>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我公司</w:t>
      </w:r>
      <w:r>
        <w:rPr>
          <w:rFonts w:hint="eastAsia" w:ascii="宋体" w:hAnsi="宋体"/>
          <w:color w:val="000000" w:themeColor="text1"/>
          <w:kern w:val="2"/>
          <w:sz w:val="24"/>
          <w:szCs w:val="24"/>
          <w:highlight w:val="none"/>
          <w14:textFill>
            <w14:solidFill>
              <w14:schemeClr w14:val="tx1"/>
            </w14:solidFill>
          </w14:textFill>
        </w:rPr>
        <w:t>在参加本项目采购活动前3年内</w:t>
      </w:r>
      <w:r>
        <w:rPr>
          <w:rFonts w:hint="eastAsia" w:ascii="宋体" w:hAnsi="宋体"/>
          <w:color w:val="000000" w:themeColor="text1"/>
          <w:kern w:val="2"/>
          <w:sz w:val="24"/>
          <w:szCs w:val="24"/>
          <w:highlight w:val="none"/>
          <w:lang w:val="en-GB"/>
          <w14:textFill>
            <w14:solidFill>
              <w14:schemeClr w14:val="tx1"/>
            </w14:solidFill>
          </w14:textFill>
        </w:rPr>
        <w:t>在经营活动中没有重大违法记录。</w:t>
      </w:r>
    </w:p>
    <w:p>
      <w:pPr>
        <w:spacing w:line="360" w:lineRule="auto"/>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 xml:space="preserve">    特此声明。</w:t>
      </w:r>
    </w:p>
    <w:p>
      <w:pPr>
        <w:spacing w:line="360" w:lineRule="auto"/>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 xml:space="preserve">    如果以上声明不真实，我方承担虚假投标的责任，中标无效，并按法律、法规的规定接受处罚。</w:t>
      </w:r>
    </w:p>
    <w:p>
      <w:pPr>
        <w:spacing w:line="360" w:lineRule="auto"/>
        <w:rPr>
          <w:rFonts w:ascii="宋体" w:hAnsi="宋体"/>
          <w:color w:val="000000" w:themeColor="text1"/>
          <w:kern w:val="2"/>
          <w:sz w:val="24"/>
          <w:szCs w:val="24"/>
          <w:highlight w:val="none"/>
          <w:lang w:val="en-GB"/>
          <w14:textFill>
            <w14:solidFill>
              <w14:schemeClr w14:val="tx1"/>
            </w14:solidFill>
          </w14:textFill>
        </w:rPr>
      </w:pPr>
    </w:p>
    <w:p>
      <w:pPr>
        <w:spacing w:line="360" w:lineRule="auto"/>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附件：网页截图</w:t>
      </w:r>
    </w:p>
    <w:p>
      <w:pPr>
        <w:spacing w:line="360" w:lineRule="auto"/>
        <w:rPr>
          <w:rFonts w:ascii="宋体" w:hAnsi="宋体"/>
          <w:color w:val="000000" w:themeColor="text1"/>
          <w:kern w:val="2"/>
          <w:sz w:val="24"/>
          <w:szCs w:val="24"/>
          <w:highlight w:val="none"/>
          <w:lang w:val="en-GB"/>
          <w14:textFill>
            <w14:solidFill>
              <w14:schemeClr w14:val="tx1"/>
            </w14:solidFill>
          </w14:textFill>
        </w:rPr>
      </w:pPr>
    </w:p>
    <w:p>
      <w:pPr>
        <w:spacing w:line="360" w:lineRule="auto"/>
        <w:rPr>
          <w:rFonts w:ascii="宋体" w:hAnsi="宋体"/>
          <w:color w:val="000000" w:themeColor="text1"/>
          <w:kern w:val="2"/>
          <w:sz w:val="24"/>
          <w:szCs w:val="24"/>
          <w:highlight w:val="none"/>
          <w:lang w:val="en-GB"/>
          <w14:textFill>
            <w14:solidFill>
              <w14:schemeClr w14:val="tx1"/>
            </w14:solidFill>
          </w14:textFill>
        </w:rPr>
      </w:pPr>
    </w:p>
    <w:p>
      <w:pPr>
        <w:spacing w:line="360" w:lineRule="auto"/>
        <w:rPr>
          <w:rFonts w:ascii="宋体" w:hAnsi="宋体"/>
          <w:color w:val="000000" w:themeColor="text1"/>
          <w:kern w:val="2"/>
          <w:sz w:val="24"/>
          <w:szCs w:val="24"/>
          <w:highlight w:val="none"/>
          <w:lang w:val="en-GB"/>
          <w14:textFill>
            <w14:solidFill>
              <w14:schemeClr w14:val="tx1"/>
            </w14:solidFill>
          </w14:textFill>
        </w:rPr>
      </w:pPr>
    </w:p>
    <w:p>
      <w:pPr>
        <w:spacing w:line="360" w:lineRule="auto"/>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 xml:space="preserve">                                        竞投人名称（加盖公章）： </w:t>
      </w:r>
    </w:p>
    <w:p>
      <w:pPr>
        <w:spacing w:line="360" w:lineRule="auto"/>
        <w:ind w:right="2760"/>
        <w:jc w:val="right"/>
        <w:rPr>
          <w:rFonts w:ascii="宋体" w:hAnsi="宋体"/>
          <w:color w:val="000000" w:themeColor="text1"/>
          <w:kern w:val="2"/>
          <w:sz w:val="24"/>
          <w:szCs w:val="24"/>
          <w:highlight w:val="none"/>
          <w:lang w:val="en-GB"/>
          <w14:textFill>
            <w14:solidFill>
              <w14:schemeClr w14:val="tx1"/>
            </w14:solidFill>
          </w14:textFill>
        </w:rPr>
      </w:pPr>
      <w:r>
        <w:rPr>
          <w:rFonts w:hint="eastAsia" w:ascii="宋体" w:hAnsi="宋体"/>
          <w:color w:val="000000" w:themeColor="text1"/>
          <w:kern w:val="2"/>
          <w:sz w:val="24"/>
          <w:szCs w:val="24"/>
          <w:highlight w:val="none"/>
          <w:lang w:val="en-GB"/>
          <w14:textFill>
            <w14:solidFill>
              <w14:schemeClr w14:val="tx1"/>
            </w14:solidFill>
          </w14:textFill>
        </w:rPr>
        <w:t>日期：年  月  日</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br w:type="page"/>
      </w:r>
    </w:p>
    <w:p>
      <w:pPr>
        <w:jc w:val="center"/>
        <w:rPr>
          <w:rFonts w:ascii="宋体" w:hAnsi="宋体"/>
          <w:b/>
          <w:bCs/>
          <w:sz w:val="32"/>
          <w:szCs w:val="28"/>
          <w:highlight w:val="none"/>
        </w:rPr>
      </w:pPr>
      <w:bookmarkStart w:id="192" w:name="_Hlk59025866"/>
      <w:r>
        <w:rPr>
          <w:rFonts w:ascii="宋体" w:hAnsi="宋体"/>
          <w:b/>
          <w:bCs/>
          <w:sz w:val="32"/>
          <w:szCs w:val="28"/>
          <w:highlight w:val="none"/>
        </w:rPr>
        <w:t>★</w:t>
      </w:r>
      <w:r>
        <w:rPr>
          <w:rFonts w:hint="eastAsia" w:ascii="宋体" w:hAnsi="宋体"/>
          <w:b/>
          <w:bCs/>
          <w:sz w:val="32"/>
          <w:szCs w:val="28"/>
          <w:highlight w:val="none"/>
        </w:rPr>
        <w:t>信用记录承诺函</w:t>
      </w:r>
    </w:p>
    <w:bookmarkEnd w:id="192"/>
    <w:p>
      <w:pPr>
        <w:spacing w:line="360" w:lineRule="auto"/>
        <w:rPr>
          <w:rFonts w:ascii="宋体" w:hAnsi="宋体"/>
          <w:kern w:val="2"/>
          <w:sz w:val="24"/>
          <w:szCs w:val="24"/>
          <w:highlight w:val="none"/>
          <w:lang w:val="en-GB"/>
        </w:rPr>
      </w:pPr>
    </w:p>
    <w:p>
      <w:pPr>
        <w:spacing w:line="360" w:lineRule="auto"/>
        <w:rPr>
          <w:rFonts w:ascii="宋体" w:hAnsi="宋体"/>
          <w:kern w:val="2"/>
          <w:sz w:val="24"/>
          <w:szCs w:val="24"/>
          <w:highlight w:val="none"/>
          <w:lang w:val="en-GB"/>
        </w:rPr>
      </w:pPr>
      <w:r>
        <w:rPr>
          <w:rFonts w:hint="eastAsia" w:ascii="宋体" w:hAnsi="宋体"/>
          <w:kern w:val="2"/>
          <w:sz w:val="24"/>
          <w:szCs w:val="24"/>
          <w:highlight w:val="none"/>
          <w:lang w:val="en-GB"/>
        </w:rPr>
        <w:t>致：</w:t>
      </w:r>
      <w:r>
        <w:rPr>
          <w:rFonts w:hint="eastAsia" w:ascii="宋体" w:hAnsi="宋体"/>
          <w:b/>
          <w:bCs/>
          <w:sz w:val="24"/>
          <w:szCs w:val="21"/>
          <w:highlight w:val="none"/>
          <w:shd w:val="clear" w:color="auto" w:fill="FFFFFF"/>
        </w:rPr>
        <w:t>广州市储备粮管理中心/广州农村产权交易所有限公司</w:t>
      </w:r>
    </w:p>
    <w:p>
      <w:pPr>
        <w:spacing w:line="360" w:lineRule="auto"/>
        <w:ind w:firstLine="480" w:firstLineChars="200"/>
        <w:jc w:val="both"/>
        <w:rPr>
          <w:rFonts w:ascii="宋体" w:hAnsi="宋体"/>
          <w:kern w:val="2"/>
          <w:sz w:val="24"/>
          <w:szCs w:val="24"/>
          <w:highlight w:val="none"/>
          <w:lang w:val="en-GB"/>
        </w:rPr>
      </w:pPr>
      <w:r>
        <w:rPr>
          <w:rFonts w:hint="eastAsia" w:ascii="宋体" w:hAnsi="宋体"/>
          <w:kern w:val="2"/>
          <w:sz w:val="24"/>
          <w:szCs w:val="24"/>
          <w:highlight w:val="none"/>
          <w:lang w:val="en-GB"/>
        </w:rPr>
        <w:t>我方郑重承诺，在参与</w:t>
      </w:r>
      <w:r>
        <w:rPr>
          <w:rFonts w:hint="eastAsia" w:ascii="宋体" w:hAnsi="宋体"/>
          <w:kern w:val="2"/>
          <w:sz w:val="24"/>
          <w:szCs w:val="24"/>
          <w:highlight w:val="none"/>
          <w:u w:val="single"/>
          <w:lang w:val="en-GB"/>
        </w:rPr>
        <w:t>2022年救灾物资紧急采购项目（项目编号：</w:t>
      </w:r>
      <w:r>
        <w:rPr>
          <w:rFonts w:hint="eastAsia" w:ascii="宋体" w:hAnsi="宋体"/>
          <w:color w:val="000000" w:themeColor="text1"/>
          <w:sz w:val="24"/>
          <w:szCs w:val="21"/>
          <w:highlight w:val="none"/>
          <w:u w:val="single"/>
          <w:shd w:val="clear" w:color="auto" w:fill="FFFFFF"/>
          <w14:textFill>
            <w14:solidFill>
              <w14:schemeClr w14:val="tx1"/>
            </w14:solidFill>
          </w14:textFill>
        </w:rPr>
        <w:t>GZ2022JZ10002</w:t>
      </w:r>
      <w:r>
        <w:rPr>
          <w:rFonts w:hint="eastAsia" w:ascii="宋体" w:hAnsi="宋体"/>
          <w:kern w:val="2"/>
          <w:sz w:val="24"/>
          <w:szCs w:val="24"/>
          <w:highlight w:val="none"/>
          <w:u w:val="single"/>
          <w:lang w:val="en-GB"/>
        </w:rPr>
        <w:t>）</w:t>
      </w:r>
      <w:r>
        <w:rPr>
          <w:rFonts w:hint="eastAsia" w:ascii="宋体" w:hAnsi="宋体"/>
          <w:kern w:val="2"/>
          <w:sz w:val="24"/>
          <w:szCs w:val="24"/>
          <w:highlight w:val="none"/>
          <w:lang w:val="en-GB"/>
        </w:rPr>
        <w:t>采购期间，未被《信用中国》网站（</w:t>
      </w:r>
      <w:r>
        <w:rPr>
          <w:highlight w:val="none"/>
        </w:rPr>
        <w:fldChar w:fldCharType="begin"/>
      </w:r>
      <w:r>
        <w:rPr>
          <w:highlight w:val="none"/>
        </w:rPr>
        <w:instrText xml:space="preserve"> HYPERLINK "http://mail.163.com/js6/read/www.creditchina.gov.cn%EF%BC%89%E5%85%AC%E7%A4%BA%E5%AD%98%E5%9C%A8%E4%B8%8D%E8%89%AF%E4%BF%A1%E7%94%A8%E8%AE%B0%E5%BD%95%E3%80%82" </w:instrText>
      </w:r>
      <w:r>
        <w:rPr>
          <w:highlight w:val="none"/>
        </w:rPr>
        <w:fldChar w:fldCharType="separate"/>
      </w:r>
      <w:r>
        <w:rPr>
          <w:rFonts w:hint="eastAsia" w:ascii="宋体" w:hAnsi="宋体"/>
          <w:kern w:val="2"/>
          <w:sz w:val="24"/>
          <w:szCs w:val="24"/>
          <w:highlight w:val="none"/>
          <w:lang w:val="en-GB"/>
        </w:rPr>
        <w:t>www.creditchina.gov.cn）公示存在不良信用记录。</w:t>
      </w:r>
      <w:r>
        <w:rPr>
          <w:rFonts w:hint="eastAsia" w:ascii="宋体" w:hAnsi="宋体"/>
          <w:kern w:val="2"/>
          <w:sz w:val="24"/>
          <w:szCs w:val="24"/>
          <w:highlight w:val="none"/>
          <w:lang w:val="en-GB"/>
        </w:rPr>
        <w:fldChar w:fldCharType="end"/>
      </w:r>
      <w:r>
        <w:rPr>
          <w:rFonts w:hint="eastAsia" w:ascii="宋体" w:hAnsi="宋体"/>
          <w:kern w:val="2"/>
          <w:sz w:val="24"/>
          <w:szCs w:val="24"/>
          <w:highlight w:val="none"/>
          <w:lang w:val="en-GB"/>
        </w:rPr>
        <w:br w:type="textWrapping"/>
      </w:r>
      <w:r>
        <w:rPr>
          <w:rFonts w:hint="eastAsia" w:ascii="宋体" w:hAnsi="宋体"/>
          <w:kern w:val="2"/>
          <w:sz w:val="24"/>
          <w:szCs w:val="24"/>
          <w:highlight w:val="none"/>
          <w:lang w:val="en-GB"/>
        </w:rPr>
        <w:t xml:space="preserve">    （附我方在上述网站查询结果截图）</w:t>
      </w:r>
    </w:p>
    <w:p>
      <w:pPr>
        <w:spacing w:line="360" w:lineRule="auto"/>
        <w:jc w:val="right"/>
        <w:rPr>
          <w:rFonts w:ascii="宋体" w:hAnsi="宋体"/>
          <w:kern w:val="2"/>
          <w:sz w:val="24"/>
          <w:szCs w:val="24"/>
          <w:highlight w:val="none"/>
          <w:lang w:val="en-GB"/>
        </w:rPr>
      </w:pPr>
      <w:r>
        <w:rPr>
          <w:rFonts w:hint="eastAsia" w:ascii="宋体" w:hAnsi="宋体"/>
          <w:color w:val="000000" w:themeColor="text1"/>
          <w:kern w:val="2"/>
          <w:sz w:val="24"/>
          <w:szCs w:val="24"/>
          <w:highlight w:val="none"/>
          <w:lang w:val="en-GB"/>
          <w14:textFill>
            <w14:solidFill>
              <w14:schemeClr w14:val="tx1"/>
            </w14:solidFill>
          </w14:textFill>
        </w:rPr>
        <w:t>竞投人</w:t>
      </w:r>
      <w:r>
        <w:rPr>
          <w:rFonts w:hint="eastAsia" w:ascii="宋体" w:hAnsi="宋体"/>
          <w:kern w:val="2"/>
          <w:sz w:val="24"/>
          <w:szCs w:val="24"/>
          <w:highlight w:val="none"/>
          <w:lang w:val="en-GB"/>
        </w:rPr>
        <w:t xml:space="preserve">名称（加盖公章）： </w:t>
      </w:r>
    </w:p>
    <w:p>
      <w:pPr>
        <w:spacing w:line="360" w:lineRule="auto"/>
        <w:jc w:val="right"/>
        <w:rPr>
          <w:rFonts w:ascii="宋体" w:hAnsi="宋体"/>
          <w:kern w:val="2"/>
          <w:sz w:val="24"/>
          <w:szCs w:val="24"/>
          <w:highlight w:val="none"/>
          <w:lang w:val="en-GB"/>
        </w:rPr>
      </w:pPr>
      <w:r>
        <w:rPr>
          <w:rFonts w:hint="eastAsia" w:ascii="宋体" w:hAnsi="宋体"/>
          <w:kern w:val="2"/>
          <w:sz w:val="24"/>
          <w:szCs w:val="24"/>
          <w:highlight w:val="none"/>
          <w:lang w:val="en-GB"/>
        </w:rPr>
        <w:t>年  月  日</w:t>
      </w:r>
    </w:p>
    <w:p>
      <w:pPr>
        <w:rPr>
          <w:rFonts w:ascii="宋体" w:hAnsi="宋体"/>
          <w:b/>
          <w:sz w:val="24"/>
          <w:highlight w:val="none"/>
        </w:rPr>
      </w:pPr>
      <w:r>
        <w:rPr>
          <w:rFonts w:hint="eastAsia" w:ascii="宋体" w:hAnsi="宋体"/>
          <w:b/>
          <w:sz w:val="24"/>
          <w:highlight w:val="none"/>
        </w:rPr>
        <w:t>注：</w:t>
      </w:r>
    </w:p>
    <w:p>
      <w:pPr>
        <w:rPr>
          <w:rFonts w:ascii="宋体" w:hAnsi="宋体"/>
          <w:b/>
          <w:sz w:val="24"/>
          <w:highlight w:val="none"/>
        </w:rPr>
      </w:pPr>
      <w:r>
        <w:rPr>
          <w:rFonts w:hint="eastAsia" w:ascii="宋体" w:hAnsi="宋体"/>
          <w:b/>
          <w:sz w:val="24"/>
          <w:highlight w:val="none"/>
        </w:rPr>
        <w:t>1、网站截图为“信用中国”网站（www.creditchina.gov.cn）首页“信用信息”搜索一栏输入企业全称后得出的查询结果页面。信用记录承诺必须附网站截图。</w:t>
      </w:r>
    </w:p>
    <w:p>
      <w:pPr>
        <w:rPr>
          <w:rFonts w:ascii="宋体" w:hAnsi="宋体"/>
          <w:b/>
          <w:sz w:val="24"/>
          <w:highlight w:val="none"/>
        </w:rPr>
      </w:pPr>
    </w:p>
    <w:p>
      <w:pPr>
        <w:rPr>
          <w:rFonts w:ascii="宋体" w:hAnsi="宋体"/>
          <w:b/>
          <w:sz w:val="24"/>
          <w:highlight w:val="none"/>
        </w:rPr>
      </w:pPr>
      <w:r>
        <w:rPr>
          <w:rFonts w:hint="eastAsia" w:ascii="宋体" w:hAnsi="宋体"/>
          <w:b/>
          <w:sz w:val="24"/>
          <w:highlight w:val="none"/>
        </w:rPr>
        <w:t xml:space="preserve">2、截图中应显示网站域名，页面信息必须明确显示参与本项目的企业全称 </w:t>
      </w:r>
    </w:p>
    <w:p>
      <w:pPr>
        <w:rPr>
          <w:rFonts w:ascii="宋体" w:hAnsi="宋体"/>
          <w:b/>
          <w:sz w:val="24"/>
          <w:highlight w:val="none"/>
        </w:rPr>
      </w:pPr>
    </w:p>
    <w:p>
      <w:pPr>
        <w:rPr>
          <w:rFonts w:ascii="宋体" w:hAnsi="宋体"/>
          <w:b/>
          <w:sz w:val="24"/>
          <w:highlight w:val="none"/>
        </w:rPr>
      </w:pPr>
    </w:p>
    <w:p>
      <w:pPr>
        <w:rPr>
          <w:rFonts w:ascii="宋体" w:hAnsi="宋体"/>
          <w:b/>
          <w:sz w:val="24"/>
          <w:highlight w:val="none"/>
        </w:rPr>
      </w:pPr>
      <w:r>
        <w:rPr>
          <w:rFonts w:hint="eastAsia" w:ascii="宋体" w:hAnsi="宋体"/>
          <w:b/>
          <w:sz w:val="24"/>
          <w:highlight w:val="none"/>
        </w:rPr>
        <w:t>附件：</w:t>
      </w:r>
    </w:p>
    <w:p>
      <w:pPr>
        <w:rPr>
          <w:rFonts w:ascii="宋体" w:hAnsi="宋体"/>
          <w:sz w:val="24"/>
          <w:highlight w:val="none"/>
        </w:rPr>
      </w:pPr>
      <w:r>
        <w:rPr>
          <w:rFonts w:hint="eastAsia" w:ascii="宋体" w:hAnsi="宋体"/>
          <w:sz w:val="24"/>
          <w:highlight w:val="none"/>
        </w:rPr>
        <w:t>“信用中国”网页截图</w:t>
      </w:r>
    </w:p>
    <w:p>
      <w:pPr>
        <w:rPr>
          <w:rFonts w:ascii="宋体" w:hAnsi="宋体"/>
          <w:color w:val="000000" w:themeColor="text1"/>
          <w:sz w:val="24"/>
          <w:highlight w:val="none"/>
          <w14:textFill>
            <w14:solidFill>
              <w14:schemeClr w14:val="tx1"/>
            </w14:solidFill>
          </w14:textFill>
        </w:rPr>
      </w:pPr>
      <w:bookmarkStart w:id="193" w:name="_Toc500755638"/>
      <w:bookmarkStart w:id="194" w:name="_Toc500968977"/>
      <w:r>
        <w:rPr>
          <w:rFonts w:ascii="宋体" w:hAnsi="宋体"/>
          <w:color w:val="000000" w:themeColor="text1"/>
          <w:sz w:val="24"/>
          <w:highlight w:val="none"/>
          <w14:textFill>
            <w14:solidFill>
              <w14:schemeClr w14:val="tx1"/>
            </w14:solidFill>
          </w14:textFill>
        </w:rPr>
        <w:br w:type="page"/>
      </w:r>
    </w:p>
    <w:p>
      <w:pPr>
        <w:spacing w:line="360" w:lineRule="auto"/>
        <w:jc w:val="center"/>
        <w:rPr>
          <w:rFonts w:ascii="宋体" w:hAnsi="宋体"/>
          <w:b/>
          <w:bCs/>
          <w:color w:val="000000" w:themeColor="text1"/>
          <w:sz w:val="32"/>
          <w:szCs w:val="28"/>
          <w:highlight w:val="none"/>
          <w14:textFill>
            <w14:solidFill>
              <w14:schemeClr w14:val="tx1"/>
            </w14:solidFill>
          </w14:textFill>
        </w:rPr>
      </w:pPr>
      <w:r>
        <w:rPr>
          <w:rFonts w:ascii="宋体" w:hAnsi="宋体"/>
          <w:b/>
          <w:bCs/>
          <w:color w:val="000000" w:themeColor="text1"/>
          <w:sz w:val="32"/>
          <w:szCs w:val="28"/>
          <w:highlight w:val="none"/>
          <w14:textFill>
            <w14:solidFill>
              <w14:schemeClr w14:val="tx1"/>
            </w14:solidFill>
          </w14:textFill>
        </w:rPr>
        <w:t>★</w:t>
      </w:r>
      <w:r>
        <w:rPr>
          <w:rFonts w:hint="eastAsia" w:ascii="宋体" w:hAnsi="宋体"/>
          <w:b/>
          <w:bCs/>
          <w:color w:val="000000" w:themeColor="text1"/>
          <w:sz w:val="32"/>
          <w:szCs w:val="28"/>
          <w:highlight w:val="none"/>
          <w14:textFill>
            <w14:solidFill>
              <w14:schemeClr w14:val="tx1"/>
            </w14:solidFill>
          </w14:textFill>
        </w:rPr>
        <w:t>公平竞争承诺书</w:t>
      </w:r>
      <w:bookmarkEnd w:id="193"/>
      <w:bookmarkEnd w:id="194"/>
    </w:p>
    <w:p>
      <w:pPr>
        <w:spacing w:line="360" w:lineRule="auto"/>
        <w:rPr>
          <w:rFonts w:ascii="宋体" w:hAnsi="宋体"/>
          <w:b/>
          <w:bCs/>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 </w:t>
      </w:r>
      <w:r>
        <w:rPr>
          <w:rFonts w:hint="eastAsia" w:ascii="宋体" w:hAnsi="宋体"/>
          <w:color w:val="000000" w:themeColor="text1"/>
          <w:sz w:val="24"/>
          <w:szCs w:val="21"/>
          <w:highlight w:val="none"/>
          <w14:textFill>
            <w14:solidFill>
              <w14:schemeClr w14:val="tx1"/>
            </w14:solidFill>
          </w14:textFill>
        </w:rPr>
        <w:br w:type="textWrapping"/>
      </w:r>
      <w:r>
        <w:rPr>
          <w:rFonts w:hint="eastAsia" w:ascii="宋体" w:hAnsi="宋体"/>
          <w:color w:val="000000" w:themeColor="text1"/>
          <w:sz w:val="24"/>
          <w:szCs w:val="21"/>
          <w:highlight w:val="none"/>
          <w:shd w:val="clear" w:color="auto" w:fill="FFFFFF"/>
          <w14:textFill>
            <w14:solidFill>
              <w14:schemeClr w14:val="tx1"/>
            </w14:solidFill>
          </w14:textFill>
        </w:rPr>
        <w:t>致：</w:t>
      </w:r>
      <w:r>
        <w:rPr>
          <w:rFonts w:hint="eastAsia" w:ascii="宋体" w:hAnsi="宋体"/>
          <w:b/>
          <w:bCs/>
          <w:color w:val="000000" w:themeColor="text1"/>
          <w:sz w:val="24"/>
          <w:szCs w:val="21"/>
          <w:highlight w:val="none"/>
          <w:shd w:val="clear" w:color="auto" w:fill="FFFFFF"/>
          <w14:textFill>
            <w14:solidFill>
              <w14:schemeClr w14:val="tx1"/>
            </w14:solidFill>
          </w14:textFill>
        </w:rPr>
        <w:t>广州市储备粮管理中心/广州农村产权交易所有限公司</w:t>
      </w:r>
    </w:p>
    <w:p>
      <w:pPr>
        <w:spacing w:line="360" w:lineRule="auto"/>
        <w:ind w:firstLine="480" w:firstLineChars="200"/>
        <w:rPr>
          <w:rFonts w:ascii="宋体" w:hAnsi="宋体"/>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我方郑重承诺：我方保证所提交的相关资质文件和证明材料的真实性，有良好的历史诚信记录，并将依法参与</w:t>
      </w:r>
      <w:r>
        <w:rPr>
          <w:rFonts w:hint="eastAsia" w:ascii="宋体" w:hAnsi="宋体"/>
          <w:color w:val="000000" w:themeColor="text1"/>
          <w:sz w:val="24"/>
          <w:szCs w:val="21"/>
          <w:highlight w:val="none"/>
          <w:u w:val="single"/>
          <w:shd w:val="clear" w:color="auto" w:fill="FFFFFF"/>
          <w14:textFill>
            <w14:solidFill>
              <w14:schemeClr w14:val="tx1"/>
            </w14:solidFill>
          </w14:textFill>
        </w:rPr>
        <w:t>2022年救灾物资紧急采购项目（项目编号：GZ2022JZ10002</w:t>
      </w:r>
      <w:r>
        <w:rPr>
          <w:rFonts w:hint="eastAsia" w:ascii="宋体" w:hAnsi="宋体"/>
          <w:color w:val="000000" w:themeColor="text1"/>
          <w:sz w:val="24"/>
          <w:szCs w:val="21"/>
          <w:highlight w:val="none"/>
          <w:shd w:val="clear" w:color="auto" w:fill="FFFFFF"/>
          <w14:textFill>
            <w14:solidFill>
              <w14:schemeClr w14:val="tx1"/>
            </w14:solidFill>
          </w14:textFill>
        </w:rPr>
        <w:t>）的公平竞争，不以任何不正当行为谋取不当利益，否则承担相应的法律责任。</w:t>
      </w:r>
    </w:p>
    <w:p>
      <w:pPr>
        <w:spacing w:line="360" w:lineRule="auto"/>
        <w:ind w:firstLine="480" w:firstLineChars="200"/>
        <w:rPr>
          <w:rFonts w:ascii="宋体" w:hAnsi="宋体"/>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特此承诺！</w:t>
      </w:r>
    </w:p>
    <w:p>
      <w:pPr>
        <w:spacing w:line="360" w:lineRule="auto"/>
        <w:ind w:right="480"/>
        <w:jc w:val="right"/>
        <w:rPr>
          <w:rFonts w:ascii="宋体" w:hAnsi="宋体"/>
          <w:color w:val="000000" w:themeColor="text1"/>
          <w:sz w:val="24"/>
          <w:szCs w:val="21"/>
          <w:highlight w:val="none"/>
          <w:shd w:val="clear" w:color="auto" w:fill="FFFFFF"/>
          <w14:textFill>
            <w14:solidFill>
              <w14:schemeClr w14:val="tx1"/>
            </w14:solidFill>
          </w14:textFill>
        </w:rPr>
      </w:pPr>
    </w:p>
    <w:p>
      <w:pPr>
        <w:spacing w:line="360" w:lineRule="auto"/>
        <w:ind w:right="480"/>
        <w:jc w:val="right"/>
        <w:rPr>
          <w:rFonts w:ascii="宋体" w:hAnsi="宋体"/>
          <w:color w:val="000000" w:themeColor="text1"/>
          <w:sz w:val="24"/>
          <w:szCs w:val="21"/>
          <w:highlight w:val="none"/>
          <w:shd w:val="clear" w:color="auto" w:fill="FFFFFF"/>
          <w14:textFill>
            <w14:solidFill>
              <w14:schemeClr w14:val="tx1"/>
            </w14:solidFill>
          </w14:textFill>
        </w:rPr>
      </w:pPr>
    </w:p>
    <w:p>
      <w:pPr>
        <w:spacing w:line="360" w:lineRule="auto"/>
        <w:ind w:right="480"/>
        <w:jc w:val="right"/>
        <w:rPr>
          <w:rFonts w:ascii="宋体" w:hAnsi="宋体"/>
          <w:color w:val="000000" w:themeColor="text1"/>
          <w:sz w:val="24"/>
          <w:szCs w:val="21"/>
          <w:highlight w:val="none"/>
          <w:shd w:val="clear" w:color="auto" w:fill="FFFFFF"/>
          <w14:textFill>
            <w14:solidFill>
              <w14:schemeClr w14:val="tx1"/>
            </w14:solidFill>
          </w14:textFill>
        </w:rPr>
      </w:pPr>
    </w:p>
    <w:p>
      <w:pPr>
        <w:spacing w:line="360" w:lineRule="auto"/>
        <w:ind w:right="480"/>
        <w:jc w:val="right"/>
        <w:rPr>
          <w:rFonts w:ascii="宋体" w:hAnsi="宋体"/>
          <w:color w:val="000000" w:themeColor="text1"/>
          <w:sz w:val="24"/>
          <w:szCs w:val="21"/>
          <w:highlight w:val="none"/>
          <w:shd w:val="clear" w:color="auto" w:fill="FFFFFF"/>
          <w14:textFill>
            <w14:solidFill>
              <w14:schemeClr w14:val="tx1"/>
            </w14:solidFill>
          </w14:textFill>
        </w:rPr>
      </w:pPr>
    </w:p>
    <w:p>
      <w:pPr>
        <w:spacing w:line="360" w:lineRule="auto"/>
        <w:ind w:right="480"/>
        <w:jc w:val="right"/>
        <w:rPr>
          <w:rFonts w:ascii="宋体" w:hAnsi="宋体"/>
          <w:color w:val="000000" w:themeColor="text1"/>
          <w:sz w:val="24"/>
          <w:szCs w:val="21"/>
          <w:highlight w:val="none"/>
          <w:shd w:val="clear" w:color="auto" w:fill="FFFFFF"/>
          <w14:textFill>
            <w14:solidFill>
              <w14:schemeClr w14:val="tx1"/>
            </w14:solidFill>
          </w14:textFill>
        </w:rPr>
      </w:pPr>
    </w:p>
    <w:p>
      <w:pPr>
        <w:spacing w:line="360" w:lineRule="auto"/>
        <w:ind w:right="600"/>
        <w:jc w:val="right"/>
        <w:rPr>
          <w:rFonts w:ascii="宋体" w:hAnsi="宋体"/>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法定代表人/授权代表（签名或盖章）：</w:t>
      </w:r>
    </w:p>
    <w:p>
      <w:pPr>
        <w:spacing w:line="360" w:lineRule="auto"/>
        <w:ind w:right="1920"/>
        <w:jc w:val="right"/>
        <w:rPr>
          <w:rFonts w:ascii="宋体" w:hAnsi="宋体"/>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竞投人名称（加盖公章）：</w:t>
      </w:r>
    </w:p>
    <w:p>
      <w:pPr>
        <w:spacing w:line="360" w:lineRule="auto"/>
        <w:ind w:right="1920"/>
        <w:jc w:val="right"/>
        <w:rPr>
          <w:rFonts w:ascii="宋体" w:hAnsi="宋体"/>
          <w:color w:val="000000" w:themeColor="text1"/>
          <w:sz w:val="24"/>
          <w:szCs w:val="21"/>
          <w:highlight w:val="none"/>
          <w:shd w:val="clear" w:color="auto" w:fill="FFFFFF"/>
          <w14:textFill>
            <w14:solidFill>
              <w14:schemeClr w14:val="tx1"/>
            </w14:solidFill>
          </w14:textFill>
        </w:rPr>
      </w:pPr>
      <w:r>
        <w:rPr>
          <w:rFonts w:hint="eastAsia" w:ascii="宋体" w:hAnsi="宋体"/>
          <w:color w:val="000000" w:themeColor="text1"/>
          <w:sz w:val="24"/>
          <w:szCs w:val="21"/>
          <w:highlight w:val="none"/>
          <w:shd w:val="clear" w:color="auto" w:fill="FFFFFF"/>
          <w14:textFill>
            <w14:solidFill>
              <w14:schemeClr w14:val="tx1"/>
            </w14:solidFill>
          </w14:textFill>
        </w:rPr>
        <w:t>日期：  年  月  日</w:t>
      </w:r>
    </w:p>
    <w:p>
      <w:pPr>
        <w:rPr>
          <w:rFonts w:ascii="宋体" w:hAnsi="宋体"/>
          <w:b/>
          <w:color w:val="000000" w:themeColor="text1"/>
          <w:sz w:val="28"/>
          <w:szCs w:val="28"/>
          <w:highlight w:val="none"/>
          <w14:textFill>
            <w14:solidFill>
              <w14:schemeClr w14:val="tx1"/>
            </w14:solidFill>
          </w14:textFill>
        </w:rPr>
      </w:pPr>
      <w:r>
        <w:rPr>
          <w:rFonts w:hAnsi="宋体"/>
          <w:b/>
          <w:color w:val="000000" w:themeColor="text1"/>
          <w:sz w:val="28"/>
          <w:szCs w:val="28"/>
          <w:highlight w:val="none"/>
          <w14:textFill>
            <w14:solidFill>
              <w14:schemeClr w14:val="tx1"/>
            </w14:solidFill>
          </w14:textFill>
        </w:rPr>
        <w:br w:type="page"/>
      </w:r>
    </w:p>
    <w:p>
      <w:pPr>
        <w:pStyle w:val="20"/>
        <w:spacing w:line="360" w:lineRule="auto"/>
        <w:jc w:val="center"/>
        <w:rPr>
          <w:rFonts w:hAnsi="宋体"/>
          <w:b/>
          <w:color w:val="000000" w:themeColor="text1"/>
          <w:sz w:val="32"/>
          <w:szCs w:val="28"/>
          <w:highlight w:val="none"/>
          <w14:textFill>
            <w14:solidFill>
              <w14:schemeClr w14:val="tx1"/>
            </w14:solidFill>
          </w14:textFill>
        </w:rPr>
      </w:pPr>
      <w:r>
        <w:rPr>
          <w:rFonts w:hAnsi="宋体"/>
          <w:b/>
          <w:color w:val="000000" w:themeColor="text1"/>
          <w:sz w:val="32"/>
          <w:szCs w:val="28"/>
          <w:highlight w:val="none"/>
          <w14:textFill>
            <w14:solidFill>
              <w14:schemeClr w14:val="tx1"/>
            </w14:solidFill>
          </w14:textFill>
        </w:rPr>
        <w:t>★</w:t>
      </w:r>
      <w:r>
        <w:rPr>
          <w:rFonts w:hint="eastAsia" w:hAnsi="宋体"/>
          <w:b/>
          <w:color w:val="000000" w:themeColor="text1"/>
          <w:sz w:val="32"/>
          <w:szCs w:val="28"/>
          <w:highlight w:val="none"/>
          <w14:textFill>
            <w14:solidFill>
              <w14:schemeClr w14:val="tx1"/>
            </w14:solidFill>
          </w14:textFill>
        </w:rPr>
        <w:t>承诺函</w:t>
      </w:r>
    </w:p>
    <w:p>
      <w:pPr>
        <w:tabs>
          <w:tab w:val="left" w:pos="9450"/>
        </w:tabs>
        <w:spacing w:line="360" w:lineRule="auto"/>
        <w:ind w:right="84" w:rightChars="40" w:firstLine="480" w:firstLineChars="200"/>
        <w:rPr>
          <w:rFonts w:ascii="宋体" w:hAnsi="宋体"/>
          <w:color w:val="000000" w:themeColor="text1"/>
          <w:sz w:val="24"/>
          <w:szCs w:val="24"/>
          <w:highlight w:val="none"/>
          <w14:textFill>
            <w14:solidFill>
              <w14:schemeClr w14:val="tx1"/>
            </w14:solidFill>
          </w14:textFill>
        </w:rPr>
      </w:pPr>
    </w:p>
    <w:p>
      <w:pPr>
        <w:tabs>
          <w:tab w:val="left" w:pos="9450"/>
        </w:tabs>
        <w:spacing w:line="360" w:lineRule="auto"/>
        <w:ind w:right="84" w:rightChars="40"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广州市储备粮管理中心</w:t>
      </w:r>
      <w:r>
        <w:rPr>
          <w:rFonts w:hint="eastAsia" w:ascii="宋体" w:hAnsi="宋体"/>
          <w:bCs/>
          <w:color w:val="000000" w:themeColor="text1"/>
          <w:sz w:val="24"/>
          <w:szCs w:val="24"/>
          <w:highlight w:val="none"/>
          <w14:textFill>
            <w14:solidFill>
              <w14:schemeClr w14:val="tx1"/>
            </w14:solidFill>
          </w14:textFill>
        </w:rPr>
        <w:t>/</w:t>
      </w:r>
      <w:r>
        <w:rPr>
          <w:rFonts w:hint="eastAsia" w:ascii="宋体" w:hAnsi="宋体"/>
          <w:color w:val="000000" w:themeColor="text1"/>
          <w:sz w:val="24"/>
          <w:szCs w:val="24"/>
          <w:highlight w:val="none"/>
          <w14:textFill>
            <w14:solidFill>
              <w14:schemeClr w14:val="tx1"/>
            </w14:solidFill>
          </w14:textFill>
        </w:rPr>
        <w:t>广州农村产权交易所有限公司：</w:t>
      </w:r>
    </w:p>
    <w:p>
      <w:pPr>
        <w:tabs>
          <w:tab w:val="left" w:pos="9450"/>
        </w:tabs>
        <w:spacing w:line="360" w:lineRule="auto"/>
        <w:ind w:right="84" w:rightChars="40"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我方收到贵方关于</w:t>
      </w:r>
      <w:r>
        <w:rPr>
          <w:rFonts w:hint="eastAsia" w:ascii="宋体" w:hAnsi="宋体"/>
          <w:color w:val="000000" w:themeColor="text1"/>
          <w:sz w:val="24"/>
          <w:szCs w:val="24"/>
          <w:highlight w:val="none"/>
          <w:u w:val="single"/>
          <w14:textFill>
            <w14:solidFill>
              <w14:schemeClr w14:val="tx1"/>
            </w14:solidFill>
          </w14:textFill>
        </w:rPr>
        <w:t>“2022年救灾物资紧急采购项目”（项目编号：GZ2022JZ10002）</w:t>
      </w:r>
      <w:r>
        <w:rPr>
          <w:rFonts w:hint="eastAsia" w:ascii="宋体" w:hAnsi="宋体"/>
          <w:color w:val="000000" w:themeColor="text1"/>
          <w:sz w:val="24"/>
          <w:szCs w:val="24"/>
          <w:highlight w:val="none"/>
          <w14:textFill>
            <w14:solidFill>
              <w14:schemeClr w14:val="tx1"/>
            </w14:solidFill>
          </w14:textFill>
        </w:rPr>
        <w:t>的采购须知，完全理解采购须知的所有内容。决定参与本项目，据此我方承诺如下：</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我方的竞价文件在采购截止日后90天（日历天）内保持有效，如中标，有效期将延至本项目《采购合同》执行期满日为止。</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我方在参与采购前已仔细研究了采购须知和所有相关资料，我方完全明白并认为此采购须知没有倾向性，也没有存在排斥潜在竞投人的内容，我方同意采购须知的相关条款，放弃对采购须知提出误解和质疑的一切权利。</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我方声明竞价文件及所提供的一切资料均真实无误及有效。由于我方提供资料不实而造成的责任和后果由我方承担。我方同意按照贵方提出的要求，提供与投标有关的任何其它数据或信息。</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我方同意如在本项目报价时间开始后、采购有效期之内撤回投标，或中标后未在规定期限内签订合同并送贵方备案的，贵方将不退还交易保证金。</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我方保证，</w:t>
      </w:r>
      <w:r>
        <w:rPr>
          <w:rFonts w:hint="eastAsia" w:hAnsi="宋体"/>
          <w:color w:val="000000" w:themeColor="text1"/>
          <w:sz w:val="24"/>
          <w:highlight w:val="none"/>
          <w:lang w:val="af-ZA"/>
          <w14:textFill>
            <w14:solidFill>
              <w14:schemeClr w14:val="tx1"/>
            </w14:solidFill>
          </w14:textFill>
        </w:rPr>
        <w:t>采购人在中华人民共和国境内使用</w:t>
      </w:r>
      <w:r>
        <w:rPr>
          <w:rFonts w:hint="eastAsia" w:hAnsi="宋体"/>
          <w:color w:val="000000" w:themeColor="text1"/>
          <w:sz w:val="24"/>
          <w:szCs w:val="24"/>
          <w:highlight w:val="none"/>
          <w14:textFill>
            <w14:solidFill>
              <w14:schemeClr w14:val="tx1"/>
            </w14:solidFill>
          </w14:textFill>
        </w:rPr>
        <w:t>我方</w:t>
      </w:r>
      <w:r>
        <w:rPr>
          <w:rFonts w:hint="eastAsia" w:hAnsi="宋体"/>
          <w:color w:val="000000" w:themeColor="text1"/>
          <w:sz w:val="24"/>
          <w:highlight w:val="none"/>
          <w:lang w:val="af-ZA"/>
          <w14:textFill>
            <w14:solidFill>
              <w14:schemeClr w14:val="tx1"/>
            </w14:solidFill>
          </w14:textFill>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ascii="宋体" w:hAnsi="宋体"/>
          <w:color w:val="auto"/>
          <w:sz w:val="24"/>
          <w:szCs w:val="21"/>
          <w:highlight w:val="none"/>
          <w:lang w:val="en-US" w:eastAsia="zh-CN"/>
        </w:rPr>
        <w:t>我方</w:t>
      </w:r>
      <w:r>
        <w:rPr>
          <w:rFonts w:hint="eastAsia" w:ascii="宋体" w:hAnsi="宋体" w:eastAsia="宋体"/>
          <w:color w:val="auto"/>
          <w:sz w:val="24"/>
          <w:szCs w:val="21"/>
          <w:highlight w:val="none"/>
        </w:rPr>
        <w:t>承诺</w:t>
      </w:r>
      <w:r>
        <w:rPr>
          <w:rFonts w:ascii="宋体" w:hAnsi="宋体" w:eastAsia="宋体"/>
          <w:color w:val="auto"/>
          <w:sz w:val="24"/>
          <w:szCs w:val="21"/>
          <w:highlight w:val="none"/>
        </w:rPr>
        <w:t>提供厂商原装、全新的、符合用户提出的有关质量标准的货物</w:t>
      </w:r>
      <w:r>
        <w:rPr>
          <w:rFonts w:hint="eastAsia" w:hAnsi="宋体"/>
          <w:color w:val="auto"/>
          <w:sz w:val="24"/>
          <w:szCs w:val="21"/>
          <w:highlight w:val="none"/>
          <w:lang w:eastAsia="zh-CN"/>
        </w:rPr>
        <w:t>。</w:t>
      </w:r>
    </w:p>
    <w:p>
      <w:pPr>
        <w:pStyle w:val="5"/>
        <w:numPr>
          <w:ilvl w:val="0"/>
          <w:numId w:val="18"/>
        </w:numPr>
        <w:tabs>
          <w:tab w:val="clear" w:pos="851"/>
        </w:tabs>
        <w:ind w:left="0" w:firstLine="540" w:firstLineChars="225"/>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所有与本采购项目有关的函件请发往下列地址：</w:t>
      </w:r>
    </w:p>
    <w:p>
      <w:pPr>
        <w:pStyle w:val="4"/>
        <w:rPr>
          <w:rFonts w:hint="eastAsia" w:hAnsi="宋体"/>
          <w:color w:val="000000" w:themeColor="text1"/>
          <w:sz w:val="24"/>
          <w:szCs w:val="24"/>
          <w:highlight w:val="none"/>
          <w14:textFill>
            <w14:solidFill>
              <w14:schemeClr w14:val="tx1"/>
            </w14:solidFill>
          </w14:textFill>
        </w:rPr>
      </w:pPr>
    </w:p>
    <w:p>
      <w:pPr>
        <w:pStyle w:val="4"/>
        <w:rPr>
          <w:rFonts w:hint="eastAsia" w:hAnsi="宋体"/>
          <w:color w:val="000000" w:themeColor="text1"/>
          <w:sz w:val="24"/>
          <w:szCs w:val="24"/>
          <w:highlight w:val="none"/>
          <w14:textFill>
            <w14:solidFill>
              <w14:schemeClr w14:val="tx1"/>
            </w14:solidFill>
          </w14:textFill>
        </w:rPr>
      </w:pPr>
    </w:p>
    <w:tbl>
      <w:tblPr>
        <w:tblStyle w:val="38"/>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4394"/>
        <w:gridCol w:w="85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360" w:lineRule="auto"/>
              <w:ind w:right="25" w:rightChars="12"/>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地址（邮编）</w:t>
            </w:r>
          </w:p>
        </w:tc>
        <w:tc>
          <w:tcPr>
            <w:tcW w:w="4394" w:type="dxa"/>
            <w:vAlign w:val="center"/>
          </w:tcPr>
          <w:p>
            <w:pPr>
              <w:tabs>
                <w:tab w:val="left" w:pos="0"/>
              </w:tabs>
              <w:spacing w:line="360" w:lineRule="auto"/>
              <w:ind w:right="25" w:rightChars="12"/>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w:t>
            </w:r>
          </w:p>
        </w:tc>
        <w:tc>
          <w:tcPr>
            <w:tcW w:w="850" w:type="dxa"/>
            <w:vAlign w:val="center"/>
          </w:tcPr>
          <w:p>
            <w:pPr>
              <w:tabs>
                <w:tab w:val="left" w:pos="0"/>
              </w:tabs>
              <w:spacing w:line="360" w:lineRule="auto"/>
              <w:ind w:right="25" w:rightChars="12"/>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传真</w:t>
            </w:r>
          </w:p>
        </w:tc>
        <w:tc>
          <w:tcPr>
            <w:tcW w:w="2009" w:type="dxa"/>
            <w:vAlign w:val="center"/>
          </w:tcPr>
          <w:p>
            <w:pPr>
              <w:tabs>
                <w:tab w:val="left" w:pos="0"/>
              </w:tabs>
              <w:spacing w:line="360" w:lineRule="auto"/>
              <w:ind w:right="25" w:rightChars="12"/>
              <w:jc w:val="both"/>
              <w:rPr>
                <w:rFonts w:ascii="宋体"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7" w:type="dxa"/>
            <w:vAlign w:val="center"/>
          </w:tcPr>
          <w:p>
            <w:pPr>
              <w:tabs>
                <w:tab w:val="left" w:pos="0"/>
              </w:tabs>
              <w:spacing w:line="360" w:lineRule="auto"/>
              <w:ind w:right="25" w:rightChars="12"/>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联系人（职务）</w:t>
            </w:r>
          </w:p>
        </w:tc>
        <w:tc>
          <w:tcPr>
            <w:tcW w:w="4394" w:type="dxa"/>
            <w:vAlign w:val="center"/>
          </w:tcPr>
          <w:p>
            <w:pPr>
              <w:tabs>
                <w:tab w:val="left" w:pos="0"/>
              </w:tabs>
              <w:spacing w:line="360" w:lineRule="auto"/>
              <w:ind w:right="25" w:rightChars="12"/>
              <w:jc w:val="both"/>
              <w:rPr>
                <w:rFonts w:ascii="宋体" w:hAnsi="宋体"/>
                <w:color w:val="000000" w:themeColor="text1"/>
                <w:sz w:val="24"/>
                <w:szCs w:val="24"/>
                <w:highlight w:val="none"/>
                <w14:textFill>
                  <w14:solidFill>
                    <w14:schemeClr w14:val="tx1"/>
                  </w14:solidFill>
                </w14:textFill>
              </w:rPr>
            </w:pPr>
          </w:p>
        </w:tc>
        <w:tc>
          <w:tcPr>
            <w:tcW w:w="850" w:type="dxa"/>
            <w:vAlign w:val="center"/>
          </w:tcPr>
          <w:p>
            <w:pPr>
              <w:tabs>
                <w:tab w:val="left" w:pos="0"/>
              </w:tabs>
              <w:spacing w:line="360" w:lineRule="auto"/>
              <w:ind w:right="25" w:rightChars="12"/>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电话</w:t>
            </w:r>
          </w:p>
        </w:tc>
        <w:tc>
          <w:tcPr>
            <w:tcW w:w="2009" w:type="dxa"/>
            <w:vAlign w:val="center"/>
          </w:tcPr>
          <w:p>
            <w:pPr>
              <w:tabs>
                <w:tab w:val="left" w:pos="0"/>
              </w:tabs>
              <w:spacing w:line="360" w:lineRule="auto"/>
              <w:ind w:right="25" w:rightChars="12"/>
              <w:jc w:val="both"/>
              <w:rPr>
                <w:rFonts w:ascii="宋体" w:hAnsi="宋体"/>
                <w:color w:val="000000" w:themeColor="text1"/>
                <w:sz w:val="24"/>
                <w:szCs w:val="24"/>
                <w:highlight w:val="none"/>
                <w14:textFill>
                  <w14:solidFill>
                    <w14:schemeClr w14:val="tx1"/>
                  </w14:solidFill>
                </w14:textFill>
              </w:rPr>
            </w:pPr>
          </w:p>
        </w:tc>
      </w:tr>
    </w:tbl>
    <w:p>
      <w:pPr>
        <w:spacing w:line="360" w:lineRule="auto"/>
        <w:ind w:right="84" w:rightChars="40" w:firstLine="4080" w:firstLineChars="17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竞投人名称（单位公章）： </w:t>
      </w:r>
    </w:p>
    <w:p>
      <w:pPr>
        <w:spacing w:line="360" w:lineRule="auto"/>
        <w:ind w:left="1917" w:leftChars="913" w:right="55" w:rightChars="2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法定代表人/负责人/委托代理人（签字或盖章）：</w:t>
      </w:r>
    </w:p>
    <w:p>
      <w:pPr>
        <w:tabs>
          <w:tab w:val="left" w:pos="4320"/>
        </w:tabs>
        <w:wordWrap w:val="0"/>
        <w:spacing w:line="360" w:lineRule="auto"/>
        <w:ind w:right="412" w:rightChars="196" w:firstLine="3840" w:firstLineChars="1600"/>
        <w:jc w:val="righ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日期：    年   月   日</w:t>
      </w:r>
    </w:p>
    <w:p>
      <w:pPr>
        <w:spacing w:line="360" w:lineRule="auto"/>
        <w:ind w:right="84" w:rightChars="4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说明：本格式文件内容不得擅自删改。</w:t>
      </w:r>
    </w:p>
    <w:p>
      <w:pPr>
        <w:pStyle w:val="4"/>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p>
    <w:p>
      <w:pPr>
        <w:spacing w:line="360" w:lineRule="auto"/>
        <w:jc w:val="center"/>
        <w:rPr>
          <w:rFonts w:ascii="宋体" w:hAnsi="宋体"/>
          <w:b/>
          <w:color w:val="000000" w:themeColor="text1"/>
          <w:sz w:val="32"/>
          <w:szCs w:val="28"/>
          <w:highlight w:val="none"/>
          <w:lang w:val="en-GB"/>
          <w14:textFill>
            <w14:solidFill>
              <w14:schemeClr w14:val="tx1"/>
            </w14:solidFill>
          </w14:textFill>
        </w:rPr>
      </w:pPr>
      <w:bookmarkStart w:id="195" w:name="_Hlk69479904"/>
      <w:r>
        <w:rPr>
          <w:rFonts w:ascii="宋体" w:hAnsi="宋体"/>
          <w:b/>
          <w:color w:val="000000" w:themeColor="text1"/>
          <w:sz w:val="32"/>
          <w:szCs w:val="28"/>
          <w:highlight w:val="none"/>
          <w14:textFill>
            <w14:solidFill>
              <w14:schemeClr w14:val="tx1"/>
            </w14:solidFill>
          </w14:textFill>
        </w:rPr>
        <w:t>★</w:t>
      </w:r>
      <w:r>
        <w:rPr>
          <w:rFonts w:hint="eastAsia" w:ascii="宋体" w:hAnsi="宋体"/>
          <w:b/>
          <w:color w:val="000000" w:themeColor="text1"/>
          <w:sz w:val="32"/>
          <w:szCs w:val="28"/>
          <w:highlight w:val="none"/>
          <w:lang w:val="en-GB"/>
          <w14:textFill>
            <w14:solidFill>
              <w14:schemeClr w14:val="tx1"/>
            </w14:solidFill>
          </w14:textFill>
        </w:rPr>
        <w:t>资格声明函</w:t>
      </w:r>
    </w:p>
    <w:p>
      <w:pPr>
        <w:spacing w:line="360" w:lineRule="auto"/>
        <w:rPr>
          <w:rFonts w:ascii="宋体" w:hAnsi="宋体"/>
          <w:b/>
          <w:iCs/>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广州市储备粮管理中心</w:t>
      </w:r>
      <w:r>
        <w:rPr>
          <w:rFonts w:hint="eastAsia" w:ascii="宋体" w:hAnsi="宋体"/>
          <w:bCs/>
          <w:color w:val="000000" w:themeColor="text1"/>
          <w:sz w:val="24"/>
          <w:szCs w:val="24"/>
          <w:highlight w:val="none"/>
          <w14:textFill>
            <w14:solidFill>
              <w14:schemeClr w14:val="tx1"/>
            </w14:solidFill>
          </w14:textFill>
        </w:rPr>
        <w:t>/</w:t>
      </w:r>
      <w:r>
        <w:rPr>
          <w:rFonts w:hint="eastAsia" w:ascii="宋体" w:hAnsi="宋体"/>
          <w:bCs/>
          <w:iCs/>
          <w:color w:val="000000" w:themeColor="text1"/>
          <w:sz w:val="24"/>
          <w:highlight w:val="none"/>
          <w14:textFill>
            <w14:solidFill>
              <w14:schemeClr w14:val="tx1"/>
            </w14:solidFill>
          </w14:textFill>
        </w:rPr>
        <w:t>广州农村产权交易所有限公司</w:t>
      </w:r>
      <w:r>
        <w:rPr>
          <w:rFonts w:hint="eastAsia" w:ascii="宋体" w:hAnsi="宋体"/>
          <w:color w:val="000000" w:themeColor="text1"/>
          <w:sz w:val="24"/>
          <w:highlight w:val="none"/>
          <w14:textFill>
            <w14:solidFill>
              <w14:schemeClr w14:val="tx1"/>
            </w14:solidFill>
          </w14:textFill>
        </w:rPr>
        <w:t>：</w:t>
      </w:r>
    </w:p>
    <w:p>
      <w:pPr>
        <w:spacing w:line="360" w:lineRule="auto"/>
        <w:ind w:firstLine="54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下述竞投人自愿响应贵方</w:t>
      </w:r>
      <w:r>
        <w:rPr>
          <w:rFonts w:hint="eastAsia" w:ascii="宋体" w:hAnsi="宋体"/>
          <w:color w:val="000000" w:themeColor="text1"/>
          <w:sz w:val="24"/>
          <w:szCs w:val="24"/>
          <w:highlight w:val="none"/>
          <w:u w:val="single"/>
          <w14:textFill>
            <w14:solidFill>
              <w14:schemeClr w14:val="tx1"/>
            </w14:solidFill>
          </w14:textFill>
        </w:rPr>
        <w:t>2022年救灾物资紧急采购项目（项目编号：GZ2022JZ10002</w:t>
      </w:r>
      <w:r>
        <w:rPr>
          <w:rFonts w:hint="eastAsia" w:ascii="宋体" w:hAnsi="宋体"/>
          <w:color w:val="000000" w:themeColor="text1"/>
          <w:sz w:val="24"/>
          <w:szCs w:val="24"/>
          <w:highlight w:val="none"/>
          <w14:textFill>
            <w14:solidFill>
              <w14:schemeClr w14:val="tx1"/>
            </w14:solidFill>
          </w14:textFill>
        </w:rPr>
        <w:t>）采购公告，参与本采购项目</w:t>
      </w:r>
      <w:r>
        <w:rPr>
          <w:rFonts w:hint="eastAsia" w:ascii="宋体" w:hAnsi="宋体"/>
          <w:color w:val="000000" w:themeColor="text1"/>
          <w:sz w:val="24"/>
          <w:highlight w:val="none"/>
          <w:lang w:val="af-ZA"/>
          <w14:textFill>
            <w14:solidFill>
              <w14:schemeClr w14:val="tx1"/>
            </w14:solidFill>
          </w14:textFill>
        </w:rPr>
        <w:t>的采购事宜</w:t>
      </w:r>
      <w:r>
        <w:rPr>
          <w:rFonts w:hint="eastAsia" w:ascii="宋体" w:hAnsi="宋体"/>
          <w:color w:val="000000" w:themeColor="text1"/>
          <w:sz w:val="24"/>
          <w:szCs w:val="24"/>
          <w:highlight w:val="none"/>
          <w14:textFill>
            <w14:solidFill>
              <w14:schemeClr w14:val="tx1"/>
            </w14:solidFill>
          </w14:textFill>
        </w:rPr>
        <w:t>，并按采购须知的要求提交所附资格文件且声明和保证如下：</w:t>
      </w:r>
    </w:p>
    <w:p>
      <w:pPr>
        <w:spacing w:line="360" w:lineRule="auto"/>
        <w:ind w:firstLine="648" w:firstLineChars="2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1.我方为本次采购所提交的所有证明其合格和资格的文件是真实的和正确的，并愿为其真实性和正确性承担法律责任；</w:t>
      </w:r>
    </w:p>
    <w:p>
      <w:pPr>
        <w:spacing w:line="360" w:lineRule="auto"/>
        <w:ind w:firstLine="648" w:firstLineChars="2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2.我方是依法注册的法人或非法人组织，具有独立承担民事责任的能力，提供以下相关证照的原件扫描件（见附件）之一：1.企业法人营业执照；2.事业法人登记证</w:t>
      </w:r>
      <w:r>
        <w:rPr>
          <w:rFonts w:ascii="宋体" w:hAnsi="宋体"/>
          <w:color w:val="000000" w:themeColor="text1"/>
          <w:sz w:val="24"/>
          <w:szCs w:val="24"/>
          <w:highlight w:val="none"/>
          <w14:textFill>
            <w14:solidFill>
              <w14:schemeClr w14:val="tx1"/>
            </w14:solidFill>
          </w14:textFill>
        </w:rPr>
        <w:t>；3.其他组织的营业执照或执业许可证；4.居民身份证等</w:t>
      </w:r>
      <w:r>
        <w:rPr>
          <w:rFonts w:hint="eastAsia" w:ascii="宋体" w:hAnsi="宋体"/>
          <w:color w:val="000000" w:themeColor="text1"/>
          <w:sz w:val="24"/>
          <w:szCs w:val="24"/>
          <w:highlight w:val="none"/>
          <w14:textFill>
            <w14:solidFill>
              <w14:schemeClr w14:val="tx1"/>
            </w14:solidFill>
          </w14:textFill>
        </w:rPr>
        <w:t>。</w:t>
      </w:r>
    </w:p>
    <w:p>
      <w:pPr>
        <w:spacing w:line="360" w:lineRule="auto"/>
        <w:ind w:firstLine="648" w:firstLineChars="2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w:t>
      </w:r>
      <w:r>
        <w:rPr>
          <w:rFonts w:ascii="宋体" w:hAnsi="宋体" w:cs="宋体"/>
          <w:sz w:val="24"/>
          <w:szCs w:val="24"/>
          <w:highlight w:val="none"/>
        </w:rPr>
        <w:t xml:space="preserve"> </w:t>
      </w:r>
      <w:r>
        <w:rPr>
          <w:rFonts w:ascii="宋体" w:hAnsi="宋体"/>
          <w:color w:val="000000" w:themeColor="text1"/>
          <w:sz w:val="24"/>
          <w:szCs w:val="24"/>
          <w:highlight w:val="none"/>
          <w14:textFill>
            <w14:solidFill>
              <w14:schemeClr w14:val="tx1"/>
            </w14:solidFill>
          </w14:textFill>
        </w:rPr>
        <w:t>我方非广州市储备粮管理中心直属/下属企业或组织</w:t>
      </w:r>
      <w:r>
        <w:rPr>
          <w:rFonts w:hint="eastAsia" w:ascii="宋体" w:hAnsi="宋体"/>
          <w:color w:val="000000" w:themeColor="text1"/>
          <w:sz w:val="24"/>
          <w:szCs w:val="24"/>
          <w:highlight w:val="none"/>
          <w14:textFill>
            <w14:solidFill>
              <w14:schemeClr w14:val="tx1"/>
            </w14:solidFill>
          </w14:textFill>
        </w:rPr>
        <w:t>。</w:t>
      </w:r>
    </w:p>
    <w:p>
      <w:pPr>
        <w:spacing w:line="360" w:lineRule="auto"/>
        <w:ind w:firstLine="648" w:firstLineChars="2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4.我方在参与采购活动中三年内没有重大违法活动及涉嫌违规行为，并没有因此而被有关部门警告或处分的记录。</w:t>
      </w:r>
    </w:p>
    <w:p>
      <w:pPr>
        <w:spacing w:line="360" w:lineRule="auto"/>
        <w:ind w:firstLine="648" w:firstLineChars="27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5.我方没有处于被责令停业或破产状态，且资产未被重组、接管和冻结。</w:t>
      </w:r>
    </w:p>
    <w:p>
      <w:pPr>
        <w:wordWrap w:val="0"/>
        <w:spacing w:line="360" w:lineRule="auto"/>
        <w:rPr>
          <w:rFonts w:ascii="宋体" w:hAnsi="宋体"/>
          <w:color w:val="000000" w:themeColor="text1"/>
          <w:sz w:val="24"/>
          <w:szCs w:val="24"/>
          <w:highlight w:val="none"/>
          <w14:textFill>
            <w14:solidFill>
              <w14:schemeClr w14:val="tx1"/>
            </w14:solidFill>
          </w14:textFill>
        </w:rPr>
      </w:pPr>
    </w:p>
    <w:p>
      <w:pPr>
        <w:wordWrap w:val="0"/>
        <w:spacing w:line="360" w:lineRule="auto"/>
        <w:ind w:firstLine="645"/>
        <w:rPr>
          <w:rFonts w:ascii="宋体" w:hAnsi="宋体"/>
          <w:color w:val="000000" w:themeColor="text1"/>
          <w:sz w:val="24"/>
          <w:szCs w:val="24"/>
          <w:highlight w:val="none"/>
          <w14:textFill>
            <w14:solidFill>
              <w14:schemeClr w14:val="tx1"/>
            </w14:solidFill>
          </w14:textFill>
        </w:rPr>
      </w:pPr>
    </w:p>
    <w:p>
      <w:pPr>
        <w:wordWrap w:val="0"/>
        <w:spacing w:line="360" w:lineRule="auto"/>
        <w:ind w:firstLine="645"/>
        <w:rPr>
          <w:rFonts w:ascii="宋体" w:hAnsi="宋体"/>
          <w:b/>
          <w:bCs/>
          <w:color w:val="000000" w:themeColor="text1"/>
          <w:sz w:val="24"/>
          <w:szCs w:val="24"/>
          <w:highlight w:val="none"/>
          <w14:textFill>
            <w14:solidFill>
              <w14:schemeClr w14:val="tx1"/>
            </w14:solidFill>
          </w14:textFill>
        </w:rPr>
      </w:pPr>
      <w:r>
        <w:rPr>
          <w:rFonts w:ascii="宋体" w:hAnsi="宋体"/>
          <w:b/>
          <w:bCs/>
          <w:color w:val="000000" w:themeColor="text1"/>
          <w:sz w:val="24"/>
          <w:szCs w:val="24"/>
          <w:highlight w:val="none"/>
          <w14:textFill>
            <w14:solidFill>
              <w14:schemeClr w14:val="tx1"/>
            </w14:solidFill>
          </w14:textFill>
        </w:rPr>
        <w:t>特此声明！</w:t>
      </w:r>
    </w:p>
    <w:p>
      <w:pPr>
        <w:pStyle w:val="16"/>
        <w:rPr>
          <w:highlight w:val="none"/>
        </w:rPr>
      </w:pPr>
    </w:p>
    <w:p>
      <w:pPr>
        <w:spacing w:line="360" w:lineRule="auto"/>
        <w:ind w:left="4253" w:leftChars="202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竞投人名称（单位公章）：</w:t>
      </w:r>
    </w:p>
    <w:p>
      <w:pPr>
        <w:spacing w:line="360" w:lineRule="auto"/>
        <w:ind w:left="1917" w:leftChars="913" w:right="55" w:rightChars="26" w:firstLine="1200" w:firstLineChars="5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法定代表人/负责人/委托代理人（签字或盖章）：</w:t>
      </w:r>
    </w:p>
    <w:p>
      <w:pPr>
        <w:spacing w:line="360" w:lineRule="auto"/>
        <w:ind w:firstLine="4200" w:firstLineChars="175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日期：   年   月   日</w:t>
      </w:r>
    </w:p>
    <w:bookmarkEnd w:id="195"/>
    <w:p>
      <w:pPr>
        <w:spacing w:line="360" w:lineRule="auto"/>
        <w:rPr>
          <w:rFonts w:ascii="宋体" w:hAnsi="宋体"/>
          <w:color w:val="000000" w:themeColor="text1"/>
          <w:sz w:val="24"/>
          <w:szCs w:val="21"/>
          <w:highlight w:val="none"/>
          <w14:textFill>
            <w14:solidFill>
              <w14:schemeClr w14:val="tx1"/>
            </w14:solidFill>
          </w14:textFill>
        </w:rPr>
      </w:pPr>
    </w:p>
    <w:p>
      <w:pPr>
        <w:spacing w:line="360" w:lineRule="auto"/>
        <w:rPr>
          <w:rFonts w:ascii="宋体" w:hAnsi="宋体"/>
          <w:color w:val="000000" w:themeColor="text1"/>
          <w:sz w:val="24"/>
          <w:szCs w:val="21"/>
          <w:highlight w:val="none"/>
          <w14:textFill>
            <w14:solidFill>
              <w14:schemeClr w14:val="tx1"/>
            </w14:solidFill>
          </w14:textFill>
        </w:rPr>
      </w:pPr>
      <w:r>
        <w:rPr>
          <w:rFonts w:ascii="宋体" w:hAnsi="宋体"/>
          <w:color w:val="000000" w:themeColor="text1"/>
          <w:sz w:val="24"/>
          <w:szCs w:val="21"/>
          <w:highlight w:val="none"/>
          <w14:textFill>
            <w14:solidFill>
              <w14:schemeClr w14:val="tx1"/>
            </w14:solidFill>
          </w14:textFill>
        </w:rPr>
        <w:t>说明：1.本格式文件内容不得擅自删改。</w:t>
      </w:r>
    </w:p>
    <w:p>
      <w:pPr>
        <w:spacing w:line="360" w:lineRule="auto"/>
        <w:ind w:firstLine="720" w:firstLineChars="300"/>
        <w:rPr>
          <w:rFonts w:ascii="宋体" w:hAnsi="宋体"/>
          <w:color w:val="000000" w:themeColor="text1"/>
          <w:sz w:val="24"/>
          <w:szCs w:val="21"/>
          <w:highlight w:val="none"/>
          <w14:textFill>
            <w14:solidFill>
              <w14:schemeClr w14:val="tx1"/>
            </w14:solidFill>
          </w14:textFill>
        </w:rPr>
      </w:pPr>
      <w:r>
        <w:rPr>
          <w:rFonts w:ascii="宋体" w:hAnsi="宋体"/>
          <w:color w:val="000000" w:themeColor="text1"/>
          <w:sz w:val="24"/>
          <w:szCs w:val="21"/>
          <w:highlight w:val="none"/>
          <w14:textFill>
            <w14:solidFill>
              <w14:schemeClr w14:val="tx1"/>
            </w14:solidFill>
          </w14:textFill>
        </w:rPr>
        <w:t>2.分支机构投标的，以上《资格声明函》必须由分支机构和总公司（总所）同时加盖公章或电子签章，附件由总公司（总所）提供。</w:t>
      </w:r>
    </w:p>
    <w:p>
      <w:pPr>
        <w:spacing w:line="360" w:lineRule="auto"/>
        <w:rPr>
          <w:rFonts w:ascii="宋体" w:hAnsi="宋体"/>
          <w:b/>
          <w:color w:val="000000" w:themeColor="text1"/>
          <w:sz w:val="28"/>
          <w:szCs w:val="28"/>
          <w:highlight w:val="none"/>
          <w:lang w:val="en-GB"/>
          <w14:textFill>
            <w14:solidFill>
              <w14:schemeClr w14:val="tx1"/>
            </w14:solidFill>
          </w14:textFill>
        </w:rPr>
      </w:pPr>
      <w:r>
        <w:rPr>
          <w:rFonts w:hint="eastAsia" w:ascii="宋体" w:hAnsi="宋体"/>
          <w:b/>
          <w:color w:val="000000" w:themeColor="text1"/>
          <w:sz w:val="28"/>
          <w:szCs w:val="28"/>
          <w:highlight w:val="none"/>
          <w:lang w:val="en-GB"/>
          <w14:textFill>
            <w14:solidFill>
              <w14:schemeClr w14:val="tx1"/>
            </w14:solidFill>
          </w14:textFill>
        </w:rPr>
        <w:br w:type="page"/>
      </w:r>
    </w:p>
    <w:p>
      <w:pPr>
        <w:spacing w:before="75" w:after="75" w:line="480" w:lineRule="atLeast"/>
        <w:jc w:val="center"/>
        <w:outlineLvl w:val="1"/>
        <w:rPr>
          <w:rFonts w:ascii="宋体" w:hAnsi="宋体" w:cs="宋体"/>
          <w:b/>
          <w:bCs/>
          <w:iCs/>
          <w:color w:val="333333"/>
          <w:sz w:val="32"/>
          <w:szCs w:val="30"/>
          <w:highlight w:val="none"/>
        </w:rPr>
      </w:pPr>
      <w:bookmarkStart w:id="196" w:name="_Toc32725"/>
      <w:bookmarkStart w:id="197" w:name="_Toc2078"/>
      <w:r>
        <w:rPr>
          <w:rFonts w:ascii="宋体" w:hAnsi="宋体" w:cs="宋体"/>
          <w:b/>
          <w:bCs/>
          <w:color w:val="333333"/>
          <w:sz w:val="32"/>
          <w:szCs w:val="30"/>
          <w:highlight w:val="none"/>
        </w:rPr>
        <w:t>★《资格声明函》的附件</w:t>
      </w:r>
      <w:bookmarkEnd w:id="196"/>
      <w:bookmarkEnd w:id="197"/>
    </w:p>
    <w:p>
      <w:pPr>
        <w:widowControl w:val="0"/>
        <w:spacing w:after="200" w:line="360" w:lineRule="auto"/>
        <w:jc w:val="center"/>
        <w:rPr>
          <w:rFonts w:ascii="宋体" w:hAnsi="宋体" w:cs="宋体"/>
          <w:sz w:val="36"/>
          <w:szCs w:val="36"/>
          <w:highlight w:val="none"/>
        </w:rPr>
      </w:pPr>
    </w:p>
    <w:p>
      <w:pPr>
        <w:widowControl w:val="0"/>
        <w:spacing w:after="200" w:line="276" w:lineRule="auto"/>
        <w:jc w:val="both"/>
        <w:rPr>
          <w:rFonts w:ascii="宋体" w:hAnsi="宋体" w:cs="宋体"/>
          <w:sz w:val="24"/>
          <w:szCs w:val="24"/>
          <w:highlight w:val="none"/>
        </w:rPr>
      </w:pPr>
      <w:r>
        <w:rPr>
          <w:rFonts w:ascii="宋体" w:hAnsi="宋体" w:cs="宋体"/>
          <w:sz w:val="24"/>
          <w:szCs w:val="24"/>
          <w:highlight w:val="none"/>
        </w:rPr>
        <w:t>请提供以下相关证照之一的扫描件：</w:t>
      </w:r>
    </w:p>
    <w:p>
      <w:pPr>
        <w:spacing w:line="360" w:lineRule="auto"/>
        <w:rPr>
          <w:rFonts w:ascii="宋体" w:hAnsi="宋体"/>
          <w:b/>
          <w:color w:val="000000" w:themeColor="text1"/>
          <w:sz w:val="28"/>
          <w:szCs w:val="28"/>
          <w:highlight w:val="none"/>
          <w:lang w:val="en-GB"/>
          <w14:textFill>
            <w14:solidFill>
              <w14:schemeClr w14:val="tx1"/>
            </w14:solidFill>
          </w14:textFill>
        </w:rPr>
      </w:pPr>
      <w:r>
        <w:rPr>
          <w:rFonts w:ascii="宋体" w:hAnsi="宋体" w:cs="宋体"/>
          <w:sz w:val="24"/>
          <w:szCs w:val="24"/>
          <w:highlight w:val="none"/>
        </w:rPr>
        <w:t>（1企业法人营业执照；2事业法人登记证；3其他组织的营业执照或执业许可证；4居民身份证）</w:t>
      </w:r>
    </w:p>
    <w:p>
      <w:pPr>
        <w:rPr>
          <w:rFonts w:ascii="宋体" w:hAnsi="宋体"/>
          <w:b/>
          <w:color w:val="000000" w:themeColor="text1"/>
          <w:sz w:val="32"/>
          <w:szCs w:val="28"/>
          <w:highlight w:val="none"/>
          <w:lang w:val="en-GB"/>
          <w14:textFill>
            <w14:solidFill>
              <w14:schemeClr w14:val="tx1"/>
            </w14:solidFill>
          </w14:textFill>
        </w:rPr>
      </w:pPr>
      <w:r>
        <w:rPr>
          <w:rFonts w:ascii="宋体" w:hAnsi="宋体"/>
          <w:b/>
          <w:color w:val="000000" w:themeColor="text1"/>
          <w:sz w:val="32"/>
          <w:szCs w:val="28"/>
          <w:highlight w:val="none"/>
          <w:lang w:val="en-GB"/>
          <w14:textFill>
            <w14:solidFill>
              <w14:schemeClr w14:val="tx1"/>
            </w14:solidFill>
          </w14:textFill>
        </w:rPr>
        <w:br w:type="page"/>
      </w:r>
    </w:p>
    <w:p>
      <w:pPr>
        <w:spacing w:line="360" w:lineRule="auto"/>
        <w:jc w:val="center"/>
        <w:rPr>
          <w:rFonts w:ascii="宋体" w:hAnsi="宋体"/>
          <w:b/>
          <w:color w:val="000000" w:themeColor="text1"/>
          <w:sz w:val="32"/>
          <w:szCs w:val="28"/>
          <w:highlight w:val="none"/>
          <w:lang w:val="en-GB"/>
          <w14:textFill>
            <w14:solidFill>
              <w14:schemeClr w14:val="tx1"/>
            </w14:solidFill>
          </w14:textFill>
        </w:rPr>
      </w:pPr>
      <w:r>
        <w:rPr>
          <w:rFonts w:ascii="宋体" w:hAnsi="宋体"/>
          <w:b/>
          <w:color w:val="000000" w:themeColor="text1"/>
          <w:sz w:val="32"/>
          <w:szCs w:val="28"/>
          <w:highlight w:val="none"/>
          <w14:textFill>
            <w14:solidFill>
              <w14:schemeClr w14:val="tx1"/>
            </w14:solidFill>
          </w14:textFill>
        </w:rPr>
        <w:t>★</w:t>
      </w:r>
      <w:r>
        <w:rPr>
          <w:rFonts w:hint="eastAsia" w:ascii="宋体" w:hAnsi="宋体"/>
          <w:b/>
          <w:color w:val="000000" w:themeColor="text1"/>
          <w:sz w:val="32"/>
          <w:szCs w:val="28"/>
          <w:highlight w:val="none"/>
          <w:lang w:val="en-GB"/>
          <w14:textFill>
            <w14:solidFill>
              <w14:schemeClr w14:val="tx1"/>
            </w14:solidFill>
          </w14:textFill>
        </w:rPr>
        <w:t>报价表</w:t>
      </w:r>
    </w:p>
    <w:p>
      <w:pPr>
        <w:spacing w:line="360" w:lineRule="auto"/>
        <w:jc w:val="both"/>
        <w:rPr>
          <w:rFonts w:ascii="宋体" w:hAnsi="宋体" w:cs="宋体"/>
          <w:sz w:val="24"/>
          <w:szCs w:val="24"/>
          <w:highlight w:val="none"/>
        </w:rPr>
      </w:pPr>
      <w:r>
        <w:rPr>
          <w:rFonts w:hint="eastAsia" w:ascii="宋体" w:hAnsi="宋体" w:cs="宋体"/>
          <w:bCs/>
          <w:sz w:val="24"/>
          <w:szCs w:val="24"/>
          <w:highlight w:val="none"/>
        </w:rPr>
        <w:t>项目名称：2022年救灾物资紧急采购项目</w:t>
      </w:r>
    </w:p>
    <w:p>
      <w:pPr>
        <w:spacing w:line="360" w:lineRule="auto"/>
        <w:jc w:val="both"/>
        <w:rPr>
          <w:rFonts w:ascii="宋体" w:hAnsi="宋体" w:cs="宋体"/>
          <w:bCs/>
          <w:sz w:val="24"/>
          <w:szCs w:val="24"/>
          <w:highlight w:val="none"/>
        </w:rPr>
      </w:pPr>
      <w:r>
        <w:rPr>
          <w:rFonts w:hint="eastAsia" w:ascii="宋体" w:hAnsi="宋体" w:cs="宋体"/>
          <w:sz w:val="24"/>
          <w:szCs w:val="24"/>
          <w:highlight w:val="none"/>
        </w:rPr>
        <w:t>项目编号：</w:t>
      </w:r>
      <w:r>
        <w:rPr>
          <w:rFonts w:hint="eastAsia" w:ascii="宋体" w:hAnsi="宋体" w:cs="宋体"/>
          <w:bCs/>
          <w:sz w:val="24"/>
          <w:szCs w:val="24"/>
          <w:highlight w:val="none"/>
        </w:rPr>
        <w:t xml:space="preserve"> </w:t>
      </w:r>
      <w:r>
        <w:rPr>
          <w:rFonts w:hint="eastAsia" w:ascii="宋体" w:hAnsi="宋体"/>
          <w:color w:val="000000" w:themeColor="text1"/>
          <w:sz w:val="24"/>
          <w:szCs w:val="24"/>
          <w:highlight w:val="none"/>
          <w14:textFill>
            <w14:solidFill>
              <w14:schemeClr w14:val="tx1"/>
            </w14:solidFill>
          </w14:textFill>
        </w:rPr>
        <w:t>GZ2022JZ10002</w:t>
      </w:r>
    </w:p>
    <w:p>
      <w:pPr>
        <w:spacing w:line="360" w:lineRule="auto"/>
        <w:jc w:val="both"/>
        <w:rPr>
          <w:rFonts w:ascii="宋体" w:hAnsi="宋体" w:cs="宋体"/>
          <w:b/>
          <w:sz w:val="24"/>
          <w:szCs w:val="24"/>
          <w:highlight w:val="none"/>
        </w:rPr>
      </w:pPr>
      <w:r>
        <w:rPr>
          <w:rFonts w:hint="eastAsia" w:ascii="宋体" w:hAnsi="宋体" w:cs="宋体"/>
          <w:b/>
          <w:sz w:val="24"/>
          <w:szCs w:val="24"/>
          <w:highlight w:val="none"/>
        </w:rPr>
        <w:t>项目最高限价：¥</w:t>
      </w:r>
      <w:r>
        <w:rPr>
          <w:rFonts w:hint="eastAsia" w:ascii="宋体" w:hAnsi="宋体" w:cs="宋体"/>
          <w:b/>
          <w:sz w:val="24"/>
          <w:szCs w:val="24"/>
          <w:highlight w:val="none"/>
          <w:lang w:val="en-US" w:eastAsia="zh-CN"/>
        </w:rPr>
        <w:t>150</w:t>
      </w:r>
      <w:r>
        <w:rPr>
          <w:rFonts w:hint="eastAsia" w:ascii="宋体" w:hAnsi="宋体" w:cs="宋体"/>
          <w:b/>
          <w:sz w:val="24"/>
          <w:szCs w:val="24"/>
          <w:highlight w:val="none"/>
        </w:rPr>
        <w:t>,000.00</w:t>
      </w:r>
      <w:r>
        <w:rPr>
          <w:rFonts w:hint="eastAsia" w:eastAsiaTheme="minorEastAsia"/>
          <w:b/>
          <w:sz w:val="24"/>
          <w:szCs w:val="24"/>
          <w:highlight w:val="none"/>
        </w:rPr>
        <w:t>.00</w:t>
      </w:r>
      <w:r>
        <w:rPr>
          <w:rFonts w:eastAsiaTheme="minorEastAsia"/>
          <w:b/>
          <w:sz w:val="24"/>
          <w:szCs w:val="24"/>
          <w:highlight w:val="none"/>
        </w:rPr>
        <w:t>元</w:t>
      </w:r>
    </w:p>
    <w:p>
      <w:pPr>
        <w:spacing w:line="360" w:lineRule="auto"/>
        <w:rPr>
          <w:rFonts w:ascii="宋体" w:hAnsi="宋体" w:cs="宋体"/>
          <w:b/>
          <w:sz w:val="24"/>
          <w:szCs w:val="24"/>
          <w:highlight w:val="none"/>
        </w:rPr>
      </w:pPr>
      <w:r>
        <w:rPr>
          <w:rFonts w:hint="eastAsia" w:ascii="宋体" w:hAnsi="宋体" w:cs="宋体"/>
          <w:sz w:val="24"/>
          <w:szCs w:val="24"/>
          <w:highlight w:val="none"/>
        </w:rPr>
        <w:t xml:space="preserve">竞投人名称： </w:t>
      </w:r>
    </w:p>
    <w:p>
      <w:pPr>
        <w:pStyle w:val="20"/>
        <w:spacing w:line="360" w:lineRule="auto"/>
        <w:ind w:right="480"/>
        <w:jc w:val="center"/>
        <w:rPr>
          <w:rFonts w:hAnsi="宋体" w:cs="宋体"/>
          <w:sz w:val="24"/>
          <w:szCs w:val="24"/>
          <w:highlight w:val="none"/>
        </w:rPr>
      </w:pPr>
      <w:r>
        <w:rPr>
          <w:rFonts w:hint="eastAsia" w:hAnsi="宋体" w:cs="宋体"/>
          <w:sz w:val="24"/>
          <w:szCs w:val="24"/>
          <w:highlight w:val="none"/>
        </w:rPr>
        <w:t xml:space="preserve">                                                 [货币单位：人民币元]</w:t>
      </w:r>
    </w:p>
    <w:p>
      <w:pPr>
        <w:spacing w:line="360" w:lineRule="auto"/>
        <w:ind w:left="4253" w:leftChars="2025"/>
        <w:rPr>
          <w:rFonts w:ascii="宋体" w:hAnsi="宋体" w:cs="宋体"/>
          <w:sz w:val="24"/>
          <w:szCs w:val="24"/>
          <w:highlight w:val="none"/>
        </w:rPr>
      </w:pPr>
      <w:r>
        <w:rPr>
          <w:rFonts w:hint="eastAsia" w:ascii="宋体" w:hAnsi="宋体" w:cs="宋体"/>
          <w:sz w:val="24"/>
          <w:szCs w:val="24"/>
          <w:highlight w:val="none"/>
        </w:rPr>
        <w:t xml:space="preserve"> </w:t>
      </w:r>
    </w:p>
    <w:tbl>
      <w:tblPr>
        <w:tblStyle w:val="38"/>
        <w:tblW w:w="5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2351"/>
        <w:gridCol w:w="338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200" w:type="pct"/>
          </w:tcPr>
          <w:p>
            <w:pPr>
              <w:snapToGrid w:val="0"/>
              <w:spacing w:after="240" w:line="500" w:lineRule="atLeast"/>
              <w:ind w:left="1205" w:right="-17" w:hanging="1205" w:hangingChars="500"/>
              <w:jc w:val="center"/>
              <w:rPr>
                <w:rFonts w:ascii="宋体" w:hAnsi="宋体" w:cs="宋体"/>
                <w:b/>
                <w:color w:val="000000"/>
                <w:sz w:val="24"/>
                <w:szCs w:val="24"/>
                <w:highlight w:val="none"/>
              </w:rPr>
            </w:pPr>
            <w:r>
              <w:rPr>
                <w:rFonts w:hint="eastAsia" w:ascii="宋体" w:hAnsi="宋体" w:cs="宋体"/>
                <w:b/>
                <w:color w:val="000000"/>
                <w:sz w:val="24"/>
                <w:szCs w:val="24"/>
                <w:highlight w:val="none"/>
              </w:rPr>
              <w:t>竞投人名称</w:t>
            </w:r>
          </w:p>
        </w:tc>
        <w:tc>
          <w:tcPr>
            <w:tcW w:w="1350" w:type="pct"/>
            <w:vAlign w:val="center"/>
          </w:tcPr>
          <w:p>
            <w:pPr>
              <w:snapToGrid w:val="0"/>
              <w:spacing w:line="500" w:lineRule="atLeast"/>
              <w:ind w:left="1205" w:right="-17" w:hanging="1205" w:hangingChars="500"/>
              <w:jc w:val="center"/>
              <w:rPr>
                <w:rFonts w:ascii="宋体" w:hAnsi="宋体" w:cs="宋体"/>
                <w:b/>
                <w:color w:val="000000"/>
                <w:sz w:val="24"/>
                <w:szCs w:val="24"/>
                <w:highlight w:val="none"/>
              </w:rPr>
            </w:pPr>
            <w:r>
              <w:rPr>
                <w:rFonts w:hint="eastAsia" w:ascii="宋体" w:hAnsi="宋体" w:cs="宋体"/>
                <w:b/>
                <w:color w:val="000000"/>
                <w:sz w:val="24"/>
                <w:szCs w:val="24"/>
                <w:highlight w:val="none"/>
              </w:rPr>
              <w:t>采购内容</w:t>
            </w:r>
          </w:p>
        </w:tc>
        <w:tc>
          <w:tcPr>
            <w:tcW w:w="1904" w:type="pct"/>
            <w:vAlign w:val="center"/>
          </w:tcPr>
          <w:p>
            <w:pPr>
              <w:snapToGrid w:val="0"/>
              <w:spacing w:line="500" w:lineRule="atLeast"/>
              <w:ind w:left="1205" w:right="-17" w:hanging="1205" w:hangingChars="500"/>
              <w:jc w:val="center"/>
              <w:rPr>
                <w:rFonts w:ascii="宋体" w:hAnsi="宋体" w:cs="宋体"/>
                <w:b/>
                <w:color w:val="000000"/>
                <w:sz w:val="24"/>
                <w:szCs w:val="24"/>
                <w:highlight w:val="none"/>
              </w:rPr>
            </w:pPr>
            <w:r>
              <w:rPr>
                <w:rFonts w:hint="eastAsia" w:ascii="宋体" w:hAnsi="宋体" w:cs="宋体"/>
                <w:b/>
                <w:color w:val="000000"/>
                <w:sz w:val="24"/>
                <w:szCs w:val="24"/>
                <w:highlight w:val="none"/>
              </w:rPr>
              <w:t>项目总报价</w:t>
            </w:r>
          </w:p>
        </w:tc>
        <w:tc>
          <w:tcPr>
            <w:tcW w:w="546" w:type="pct"/>
            <w:vAlign w:val="center"/>
          </w:tcPr>
          <w:p>
            <w:pPr>
              <w:snapToGrid w:val="0"/>
              <w:spacing w:line="500" w:lineRule="atLeast"/>
              <w:ind w:left="1205" w:right="-17" w:hanging="1205" w:hangingChars="500"/>
              <w:jc w:val="center"/>
              <w:rPr>
                <w:rFonts w:ascii="宋体" w:hAnsi="宋体" w:cs="宋体"/>
                <w:b/>
                <w:color w:val="000000"/>
                <w:sz w:val="24"/>
                <w:szCs w:val="24"/>
                <w:highlight w:val="none"/>
              </w:rPr>
            </w:pPr>
            <w:r>
              <w:rPr>
                <w:rFonts w:hint="eastAsia" w:ascii="宋体" w:hAnsi="宋体" w:cs="宋体"/>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1200" w:type="pct"/>
          </w:tcPr>
          <w:p>
            <w:pPr>
              <w:spacing w:line="300" w:lineRule="auto"/>
              <w:ind w:leftChars="-1" w:hanging="2"/>
              <w:jc w:val="center"/>
              <w:rPr>
                <w:rFonts w:ascii="宋体" w:hAnsi="宋体" w:cs="宋体"/>
                <w:bCs/>
                <w:sz w:val="24"/>
                <w:szCs w:val="24"/>
                <w:highlight w:val="none"/>
              </w:rPr>
            </w:pPr>
          </w:p>
        </w:tc>
        <w:tc>
          <w:tcPr>
            <w:tcW w:w="1350" w:type="pct"/>
            <w:vAlign w:val="center"/>
          </w:tcPr>
          <w:p>
            <w:pPr>
              <w:spacing w:line="300" w:lineRule="auto"/>
              <w:ind w:leftChars="-1" w:hanging="2"/>
              <w:jc w:val="center"/>
              <w:rPr>
                <w:rFonts w:ascii="宋体" w:hAnsi="宋体" w:cs="宋体"/>
                <w:bCs/>
                <w:sz w:val="24"/>
                <w:szCs w:val="24"/>
                <w:highlight w:val="none"/>
              </w:rPr>
            </w:pPr>
            <w:r>
              <w:rPr>
                <w:rFonts w:hint="eastAsia" w:ascii="宋体" w:hAnsi="宋体" w:cs="宋体"/>
                <w:bCs/>
                <w:sz w:val="24"/>
                <w:szCs w:val="24"/>
                <w:highlight w:val="none"/>
              </w:rPr>
              <w:t>2022年救灾物资紧急采购项目</w:t>
            </w:r>
          </w:p>
        </w:tc>
        <w:tc>
          <w:tcPr>
            <w:tcW w:w="1904" w:type="pct"/>
            <w:vAlign w:val="center"/>
          </w:tcPr>
          <w:p>
            <w:pPr>
              <w:spacing w:line="300" w:lineRule="auto"/>
              <w:ind w:left="600" w:hanging="600" w:hangingChars="250"/>
              <w:rPr>
                <w:rFonts w:ascii="宋体" w:hAnsi="宋体" w:cs="宋体"/>
                <w:bCs/>
                <w:sz w:val="24"/>
                <w:szCs w:val="24"/>
                <w:highlight w:val="none"/>
              </w:rPr>
            </w:pPr>
            <w:r>
              <w:rPr>
                <w:rFonts w:hint="eastAsia" w:ascii="宋体" w:hAnsi="宋体" w:cs="宋体"/>
                <w:sz w:val="24"/>
                <w:szCs w:val="24"/>
                <w:highlight w:val="none"/>
              </w:rPr>
              <w:t>大写</w:t>
            </w:r>
            <w:r>
              <w:rPr>
                <w:rFonts w:hint="eastAsia" w:ascii="宋体" w:hAnsi="宋体" w:cs="宋体"/>
                <w:bCs/>
                <w:sz w:val="24"/>
                <w:szCs w:val="24"/>
                <w:highlight w:val="none"/>
              </w:rPr>
              <w:t>：人民币佰拾万仟佰拾元角分</w:t>
            </w:r>
          </w:p>
          <w:p>
            <w:pPr>
              <w:spacing w:line="300" w:lineRule="auto"/>
              <w:rPr>
                <w:rFonts w:ascii="宋体" w:hAnsi="宋体" w:cs="宋体"/>
                <w:sz w:val="24"/>
                <w:szCs w:val="24"/>
                <w:highlight w:val="none"/>
              </w:rPr>
            </w:pPr>
            <w:r>
              <w:rPr>
                <w:rFonts w:hint="eastAsia" w:ascii="宋体" w:hAnsi="宋体" w:cs="宋体"/>
                <w:sz w:val="24"/>
                <w:szCs w:val="24"/>
                <w:highlight w:val="none"/>
              </w:rPr>
              <w:t>小写</w:t>
            </w:r>
            <w:r>
              <w:rPr>
                <w:rFonts w:hint="eastAsia" w:ascii="宋体" w:hAnsi="宋体" w:cs="宋体"/>
                <w:bCs/>
                <w:sz w:val="24"/>
                <w:szCs w:val="24"/>
                <w:highlight w:val="none"/>
              </w:rPr>
              <w:t>：¥元</w:t>
            </w:r>
          </w:p>
        </w:tc>
        <w:tc>
          <w:tcPr>
            <w:tcW w:w="546" w:type="pct"/>
            <w:vAlign w:val="center"/>
          </w:tcPr>
          <w:p>
            <w:pPr>
              <w:spacing w:line="300" w:lineRule="auto"/>
              <w:jc w:val="center"/>
              <w:rPr>
                <w:rFonts w:ascii="宋体" w:hAnsi="宋体" w:cs="宋体"/>
                <w:sz w:val="24"/>
                <w:szCs w:val="24"/>
                <w:highlight w:val="none"/>
              </w:rPr>
            </w:pPr>
          </w:p>
        </w:tc>
      </w:tr>
    </w:tbl>
    <w:p>
      <w:pPr>
        <w:pStyle w:val="97"/>
        <w:tabs>
          <w:tab w:val="left" w:pos="7655"/>
        </w:tabs>
        <w:spacing w:line="360" w:lineRule="auto"/>
        <w:ind w:firstLine="482" w:firstLineChars="200"/>
        <w:rPr>
          <w:rFonts w:hAnsi="宋体" w:cs="宋体"/>
          <w:b/>
          <w:bCs/>
          <w:color w:val="000000" w:themeColor="text1"/>
          <w:sz w:val="24"/>
          <w:szCs w:val="24"/>
          <w:highlight w:val="none"/>
          <w:lang w:val="en-GB"/>
          <w14:textFill>
            <w14:solidFill>
              <w14:schemeClr w14:val="tx1"/>
            </w14:solidFill>
          </w14:textFill>
        </w:rPr>
      </w:pPr>
      <w:r>
        <w:rPr>
          <w:rFonts w:hint="eastAsia" w:hAnsi="宋体" w:cs="宋体"/>
          <w:b/>
          <w:bCs/>
          <w:color w:val="000000" w:themeColor="text1"/>
          <w:sz w:val="24"/>
          <w:szCs w:val="24"/>
          <w:highlight w:val="none"/>
          <w:lang w:val="en-GB"/>
          <w14:textFill>
            <w14:solidFill>
              <w14:schemeClr w14:val="tx1"/>
            </w14:solidFill>
          </w14:textFill>
        </w:rPr>
        <w:t>注：报价须包括运送到</w:t>
      </w:r>
      <w:r>
        <w:rPr>
          <w:rFonts w:hint="eastAsia" w:hAnsi="宋体" w:cs="宋体"/>
          <w:b/>
          <w:bCs/>
          <w:color w:val="000000" w:themeColor="text1"/>
          <w:sz w:val="24"/>
          <w:szCs w:val="24"/>
          <w:highlight w:val="none"/>
          <w:lang w:val="en-US" w:eastAsia="zh-CN"/>
          <w14:textFill>
            <w14:solidFill>
              <w14:schemeClr w14:val="tx1"/>
            </w14:solidFill>
          </w14:textFill>
        </w:rPr>
        <w:t>广东省</w:t>
      </w:r>
      <w:r>
        <w:rPr>
          <w:rFonts w:hint="eastAsia" w:hAnsi="宋体" w:cs="宋体"/>
          <w:b/>
          <w:bCs/>
          <w:color w:val="000000" w:themeColor="text1"/>
          <w:sz w:val="24"/>
          <w:szCs w:val="24"/>
          <w:highlight w:val="none"/>
          <w:lang w:val="en-GB"/>
          <w14:textFill>
            <w14:solidFill>
              <w14:schemeClr w14:val="tx1"/>
            </w14:solidFill>
          </w14:textFill>
        </w:rPr>
        <w:t>内采购人指定位置并按要求放置整齐等服务。</w:t>
      </w:r>
    </w:p>
    <w:p>
      <w:pPr>
        <w:rPr>
          <w:rFonts w:ascii="宋体" w:hAnsi="宋体" w:cs="宋体"/>
          <w:b/>
          <w:color w:val="000000" w:themeColor="text1"/>
          <w:sz w:val="24"/>
          <w:szCs w:val="24"/>
          <w:highlight w:val="none"/>
          <w:lang w:val="en-GB"/>
          <w14:textFill>
            <w14:solidFill>
              <w14:schemeClr w14:val="tx1"/>
            </w14:solidFill>
          </w14:textFill>
        </w:rPr>
      </w:pPr>
    </w:p>
    <w:p>
      <w:pPr>
        <w:spacing w:line="360" w:lineRule="auto"/>
        <w:ind w:left="4253" w:leftChars="202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竞投人名称（单位公章）：</w:t>
      </w:r>
    </w:p>
    <w:p>
      <w:pPr>
        <w:spacing w:line="360" w:lineRule="auto"/>
        <w:ind w:left="1917" w:leftChars="913" w:right="55" w:rightChars="26" w:firstLine="1200" w:firstLineChars="5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法定代表人/负责人/委托代理人（签字或盖章）：</w:t>
      </w:r>
    </w:p>
    <w:p>
      <w:pPr>
        <w:spacing w:line="360" w:lineRule="auto"/>
        <w:ind w:firstLine="4200" w:firstLineChars="17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日期：   年   月   日</w:t>
      </w:r>
    </w:p>
    <w:p>
      <w:pPr>
        <w:rPr>
          <w:rFonts w:ascii="仿宋" w:hAnsi="仿宋" w:eastAsia="仿宋"/>
          <w:b/>
          <w:color w:val="000000" w:themeColor="text1"/>
          <w:sz w:val="24"/>
          <w:szCs w:val="24"/>
          <w:highlight w:val="none"/>
          <w:lang w:val="en-GB"/>
          <w14:textFill>
            <w14:solidFill>
              <w14:schemeClr w14:val="tx1"/>
            </w14:solidFill>
          </w14:textFill>
        </w:rPr>
      </w:pPr>
      <w:r>
        <w:rPr>
          <w:rFonts w:hint="eastAsia" w:ascii="宋体" w:hAnsi="宋体" w:cs="宋体"/>
          <w:b/>
          <w:color w:val="000000" w:themeColor="text1"/>
          <w:sz w:val="24"/>
          <w:szCs w:val="24"/>
          <w:highlight w:val="none"/>
          <w:lang w:val="en-GB"/>
          <w14:textFill>
            <w14:solidFill>
              <w14:schemeClr w14:val="tx1"/>
            </w14:solidFill>
          </w14:textFill>
        </w:rPr>
        <w:br w:type="page"/>
      </w:r>
    </w:p>
    <w:p>
      <w:pPr>
        <w:pStyle w:val="16"/>
        <w:jc w:val="center"/>
        <w:rPr>
          <w:sz w:val="22"/>
          <w:highlight w:val="none"/>
          <w:lang w:val="en-GB"/>
        </w:rPr>
      </w:pPr>
      <w:r>
        <w:rPr>
          <w:rFonts w:ascii="宋体" w:hAnsi="宋体"/>
          <w:b/>
          <w:color w:val="000000" w:themeColor="text1"/>
          <w:sz w:val="32"/>
          <w:szCs w:val="28"/>
          <w:highlight w:val="none"/>
          <w14:textFill>
            <w14:solidFill>
              <w14:schemeClr w14:val="tx1"/>
            </w14:solidFill>
          </w14:textFill>
        </w:rPr>
        <w:t>★</w:t>
      </w:r>
      <w:r>
        <w:rPr>
          <w:rFonts w:hint="eastAsia" w:ascii="宋体" w:hAnsi="宋体"/>
          <w:b/>
          <w:color w:val="000000" w:themeColor="text1"/>
          <w:sz w:val="32"/>
          <w:szCs w:val="28"/>
          <w:highlight w:val="none"/>
          <w:lang w:val="en-GB"/>
          <w14:textFill>
            <w14:solidFill>
              <w14:schemeClr w14:val="tx1"/>
            </w14:solidFill>
          </w14:textFill>
        </w:rPr>
        <w:t>法定代表人</w:t>
      </w:r>
      <w:r>
        <w:rPr>
          <w:rFonts w:hint="eastAsia" w:ascii="宋体" w:hAnsi="宋体"/>
          <w:b/>
          <w:color w:val="000000" w:themeColor="text1"/>
          <w:sz w:val="32"/>
          <w:szCs w:val="28"/>
          <w:highlight w:val="none"/>
          <w14:textFill>
            <w14:solidFill>
              <w14:schemeClr w14:val="tx1"/>
            </w14:solidFill>
          </w14:textFill>
        </w:rPr>
        <w:t>证明书</w:t>
      </w:r>
    </w:p>
    <w:p>
      <w:pPr>
        <w:spacing w:line="360" w:lineRule="auto"/>
        <w:jc w:val="center"/>
        <w:rPr>
          <w:rFonts w:ascii="宋体" w:hAnsi="宋体"/>
          <w:b/>
          <w:color w:val="000000" w:themeColor="text1"/>
          <w:sz w:val="28"/>
          <w:szCs w:val="28"/>
          <w:highlight w:val="none"/>
          <w14:textFill>
            <w14:solidFill>
              <w14:schemeClr w14:val="tx1"/>
            </w14:solidFill>
          </w14:textFill>
        </w:rPr>
      </w:pPr>
    </w:p>
    <w:p>
      <w:pPr>
        <w:spacing w:line="360" w:lineRule="auto"/>
        <w:jc w:val="both"/>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 xml:space="preserve"> </w:t>
      </w:r>
      <w:r>
        <w:rPr>
          <w:rFonts w:ascii="宋体" w:hAnsi="宋体"/>
          <w:color w:val="000000" w:themeColor="text1"/>
          <w:sz w:val="24"/>
          <w:szCs w:val="24"/>
          <w:highlight w:val="none"/>
          <w:u w:val="single"/>
          <w14:textFill>
            <w14:solidFill>
              <w14:schemeClr w14:val="tx1"/>
            </w14:solidFill>
          </w14:textFill>
        </w:rPr>
        <w:t xml:space="preserve">            </w:t>
      </w:r>
      <w:r>
        <w:rPr>
          <w:rFonts w:ascii="宋体" w:hAnsi="宋体"/>
          <w:color w:val="000000" w:themeColor="text1"/>
          <w:sz w:val="24"/>
          <w:szCs w:val="24"/>
          <w:highlight w:val="none"/>
          <w14:textFill>
            <w14:solidFill>
              <w14:schemeClr w14:val="tx1"/>
            </w14:solidFill>
          </w14:textFill>
        </w:rPr>
        <w:t>（身份证号码：</w:t>
      </w:r>
      <w:r>
        <w:rPr>
          <w:rFonts w:ascii="宋体" w:hAnsi="宋体"/>
          <w:color w:val="000000" w:themeColor="text1"/>
          <w:sz w:val="24"/>
          <w:szCs w:val="24"/>
          <w:highlight w:val="none"/>
          <w:u w:val="single"/>
          <w14:textFill>
            <w14:solidFill>
              <w14:schemeClr w14:val="tx1"/>
            </w14:solidFill>
          </w14:textFill>
        </w:rPr>
        <w:t xml:space="preserve">                         </w:t>
      </w:r>
      <w:r>
        <w:rPr>
          <w:rFonts w:ascii="宋体" w:hAnsi="宋体"/>
          <w:color w:val="000000" w:themeColor="text1"/>
          <w:sz w:val="24"/>
          <w:szCs w:val="24"/>
          <w:highlight w:val="none"/>
          <w14:textFill>
            <w14:solidFill>
              <w14:schemeClr w14:val="tx1"/>
            </w14:solidFill>
          </w14:textFill>
        </w:rPr>
        <w:t>）在我方（或者企业、单位）任</w:t>
      </w:r>
      <w:r>
        <w:rPr>
          <w:rFonts w:ascii="宋体" w:hAnsi="宋体"/>
          <w:color w:val="000000" w:themeColor="text1"/>
          <w:sz w:val="24"/>
          <w:szCs w:val="24"/>
          <w:highlight w:val="none"/>
          <w:u w:val="single"/>
          <w14:textFill>
            <w14:solidFill>
              <w14:schemeClr w14:val="tx1"/>
            </w14:solidFill>
          </w14:textFill>
        </w:rPr>
        <w:t xml:space="preserve">             </w:t>
      </w:r>
      <w:r>
        <w:rPr>
          <w:rFonts w:ascii="宋体" w:hAnsi="宋体"/>
          <w:color w:val="000000" w:themeColor="text1"/>
          <w:sz w:val="24"/>
          <w:szCs w:val="24"/>
          <w:highlight w:val="none"/>
          <w14:textFill>
            <w14:solidFill>
              <w14:schemeClr w14:val="tx1"/>
            </w14:solidFill>
          </w14:textFill>
        </w:rPr>
        <w:t>职务，是我公司（或者企业、单位）的法定代表人/负责人。</w:t>
      </w:r>
    </w:p>
    <w:p>
      <w:pPr>
        <w:spacing w:line="360" w:lineRule="auto"/>
        <w:ind w:firstLine="808" w:firstLineChars="337"/>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特此证明。</w:t>
      </w:r>
    </w:p>
    <w:p>
      <w:pPr>
        <w:spacing w:line="360" w:lineRule="auto"/>
        <w:jc w:val="both"/>
        <w:rPr>
          <w:rFonts w:ascii="宋体" w:hAnsi="宋体"/>
          <w:color w:val="000000" w:themeColor="text1"/>
          <w:sz w:val="24"/>
          <w:szCs w:val="24"/>
          <w:highlight w:val="none"/>
          <w14:textFill>
            <w14:solidFill>
              <w14:schemeClr w14:val="tx1"/>
            </w14:solidFill>
          </w14:textFill>
        </w:rPr>
      </w:pPr>
    </w:p>
    <w:p>
      <w:pPr>
        <w:spacing w:line="360" w:lineRule="auto"/>
        <w:ind w:left="4253" w:leftChars="2025" w:firstLine="960" w:firstLineChars="4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竞投人名称（单位公章）：</w:t>
      </w:r>
    </w:p>
    <w:p>
      <w:pPr>
        <w:spacing w:line="360" w:lineRule="auto"/>
        <w:ind w:left="4471" w:leftChars="2129" w:firstLine="696" w:firstLineChars="290"/>
        <w:jc w:val="both"/>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日期：   年   月   日</w:t>
      </w:r>
    </w:p>
    <w:p>
      <w:pPr>
        <w:pStyle w:val="20"/>
        <w:spacing w:line="360" w:lineRule="auto"/>
        <w:ind w:left="2"/>
        <w:jc w:val="both"/>
        <w:rPr>
          <w:rFonts w:hAnsi="宋体"/>
          <w:color w:val="000000" w:themeColor="text1"/>
          <w:sz w:val="24"/>
          <w:szCs w:val="24"/>
          <w:highlight w:val="none"/>
          <w:lang w:val="zh-CN"/>
          <w14:textFill>
            <w14:solidFill>
              <w14:schemeClr w14:val="tx1"/>
            </w14:solidFill>
          </w14:textFill>
        </w:rPr>
      </w:pPr>
      <w:r>
        <w:rPr>
          <w:rFonts w:hint="eastAsia" w:hAnsi="宋体"/>
          <w:color w:val="000000" w:themeColor="text1"/>
          <w:sz w:val="24"/>
          <w:szCs w:val="24"/>
          <w:highlight w:val="none"/>
          <w:lang w:val="zh-CN"/>
          <w14:textFill>
            <w14:solidFill>
              <w14:schemeClr w14:val="tx1"/>
            </w14:solidFill>
          </w14:textFill>
        </w:rPr>
        <w:t>说明：</w:t>
      </w:r>
    </w:p>
    <w:p>
      <w:pPr>
        <w:pStyle w:val="20"/>
        <w:spacing w:line="360" w:lineRule="auto"/>
        <w:ind w:left="2" w:firstLine="520" w:firstLineChars="217"/>
        <w:jc w:val="both"/>
        <w:rPr>
          <w:rFonts w:hAnsi="宋体"/>
          <w:color w:val="000000" w:themeColor="text1"/>
          <w:sz w:val="24"/>
          <w:szCs w:val="24"/>
          <w:highlight w:val="none"/>
          <w:lang w:val="zh-CN"/>
          <w14:textFill>
            <w14:solidFill>
              <w14:schemeClr w14:val="tx1"/>
            </w14:solidFill>
          </w14:textFill>
        </w:rPr>
      </w:pPr>
      <w:r>
        <w:rPr>
          <w:rFonts w:hint="eastAsia" w:hAnsi="宋体"/>
          <w:color w:val="000000" w:themeColor="text1"/>
          <w:sz w:val="24"/>
          <w:szCs w:val="24"/>
          <w:highlight w:val="none"/>
          <w:lang w:val="zh-CN"/>
          <w14:textFill>
            <w14:solidFill>
              <w14:schemeClr w14:val="tx1"/>
            </w14:solidFill>
          </w14:textFill>
        </w:rPr>
        <w:t>法定代表人参加报价会的，签到时提交法定代表人证明书。可使用上述格式，也可使用工商部门统一印制的法定代表人证明书格式。</w:t>
      </w:r>
    </w:p>
    <w:p>
      <w:pPr>
        <w:spacing w:line="360" w:lineRule="auto"/>
        <w:rPr>
          <w:rFonts w:ascii="宋体" w:hAnsi="宋体"/>
          <w:b/>
          <w:color w:val="000000" w:themeColor="text1"/>
          <w:sz w:val="24"/>
          <w:szCs w:val="24"/>
          <w:highlight w:val="none"/>
          <w:lang w:val="en-GB"/>
          <w14:textFill>
            <w14:solidFill>
              <w14:schemeClr w14:val="tx1"/>
            </w14:solidFill>
          </w14:textFill>
        </w:rPr>
      </w:pPr>
      <w:r>
        <w:rPr>
          <w:rFonts w:hint="eastAsia" w:ascii="宋体" w:hAnsi="宋体"/>
          <w:b/>
          <w:color w:val="000000" w:themeColor="text1"/>
          <w:sz w:val="24"/>
          <w:szCs w:val="24"/>
          <w:highlight w:val="none"/>
          <w:lang w:val="en-GB"/>
          <w14:textFill>
            <w14:solidFill>
              <w14:schemeClr w14:val="tx1"/>
            </w14:solidFill>
          </w14:textFill>
        </w:rPr>
        <w:br w:type="page"/>
      </w:r>
    </w:p>
    <w:p>
      <w:pPr>
        <w:spacing w:line="360" w:lineRule="auto"/>
        <w:ind w:firstLine="562"/>
        <w:jc w:val="center"/>
        <w:rPr>
          <w:rFonts w:ascii="宋体" w:hAnsi="宋体"/>
          <w:b/>
          <w:color w:val="000000" w:themeColor="text1"/>
          <w:sz w:val="32"/>
          <w:szCs w:val="28"/>
          <w:highlight w:val="none"/>
          <w:lang w:val="en-GB"/>
          <w14:textFill>
            <w14:solidFill>
              <w14:schemeClr w14:val="tx1"/>
            </w14:solidFill>
          </w14:textFill>
        </w:rPr>
      </w:pPr>
      <w:r>
        <w:rPr>
          <w:rFonts w:hint="eastAsia" w:ascii="宋体" w:hAnsi="宋体"/>
          <w:b/>
          <w:color w:val="000000" w:themeColor="text1"/>
          <w:sz w:val="32"/>
          <w:szCs w:val="28"/>
          <w:highlight w:val="none"/>
          <w:lang w:val="en-GB"/>
          <w14:textFill>
            <w14:solidFill>
              <w14:schemeClr w14:val="tx1"/>
            </w14:solidFill>
          </w14:textFill>
        </w:rPr>
        <w:t>授权委托证明书</w:t>
      </w:r>
    </w:p>
    <w:p>
      <w:pPr>
        <w:pStyle w:val="97"/>
        <w:spacing w:line="360" w:lineRule="auto"/>
        <w:rPr>
          <w:rFonts w:hAnsi="宋体"/>
          <w:bCs/>
          <w:color w:val="000000" w:themeColor="text1"/>
          <w:sz w:val="24"/>
          <w:szCs w:val="24"/>
          <w:highlight w:val="none"/>
          <w14:textFill>
            <w14:solidFill>
              <w14:schemeClr w14:val="tx1"/>
            </w14:solidFill>
          </w14:textFill>
        </w:rPr>
      </w:pPr>
      <w:r>
        <w:rPr>
          <w:rFonts w:hint="eastAsia" w:hAnsi="宋体"/>
          <w:bCs/>
          <w:color w:val="000000" w:themeColor="text1"/>
          <w:sz w:val="24"/>
          <w:szCs w:val="24"/>
          <w:highlight w:val="none"/>
          <w14:textFill>
            <w14:solidFill>
              <w14:schemeClr w14:val="tx1"/>
            </w14:solidFill>
          </w14:textFill>
        </w:rPr>
        <w:t>　　</w:t>
      </w:r>
    </w:p>
    <w:p>
      <w:pPr>
        <w:pStyle w:val="97"/>
        <w:spacing w:line="360" w:lineRule="auto"/>
        <w:rPr>
          <w:rFonts w:hAnsi="宋体"/>
          <w:bCs/>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广州市储备粮管理中心</w:t>
      </w:r>
      <w:r>
        <w:rPr>
          <w:rFonts w:hint="eastAsia" w:hAnsi="宋体"/>
          <w:bCs/>
          <w:color w:val="000000" w:themeColor="text1"/>
          <w:sz w:val="24"/>
          <w:szCs w:val="24"/>
          <w:highlight w:val="none"/>
          <w14:textFill>
            <w14:solidFill>
              <w14:schemeClr w14:val="tx1"/>
            </w14:solidFill>
          </w14:textFill>
        </w:rPr>
        <w:t>/广州农村产权交易所有限公司：</w:t>
      </w:r>
    </w:p>
    <w:p>
      <w:pPr>
        <w:pStyle w:val="97"/>
        <w:spacing w:line="360" w:lineRule="auto"/>
        <w:rPr>
          <w:rFonts w:hAnsi="宋体"/>
          <w:bCs/>
          <w:color w:val="000000" w:themeColor="text1"/>
          <w:sz w:val="24"/>
          <w:szCs w:val="24"/>
          <w:highlight w:val="none"/>
          <w14:textFill>
            <w14:solidFill>
              <w14:schemeClr w14:val="tx1"/>
            </w14:solidFill>
          </w14:textFill>
        </w:rPr>
      </w:pPr>
    </w:p>
    <w:p>
      <w:pPr>
        <w:pStyle w:val="97"/>
        <w:tabs>
          <w:tab w:val="left" w:pos="7655"/>
        </w:tabs>
        <w:spacing w:line="360" w:lineRule="auto"/>
        <w:ind w:firstLine="480" w:firstLineChars="200"/>
        <w:rPr>
          <w:rFonts w:hAnsi="宋体"/>
          <w:bCs/>
          <w:color w:val="000000" w:themeColor="text1"/>
          <w:sz w:val="24"/>
          <w:szCs w:val="24"/>
          <w:highlight w:val="none"/>
          <w14:textFill>
            <w14:solidFill>
              <w14:schemeClr w14:val="tx1"/>
            </w14:solidFill>
          </w14:textFill>
        </w:rPr>
      </w:pPr>
      <w:r>
        <w:rPr>
          <w:rFonts w:hint="eastAsia" w:hAnsi="宋体"/>
          <w:bCs/>
          <w:color w:val="000000" w:themeColor="text1"/>
          <w:sz w:val="24"/>
          <w:szCs w:val="24"/>
          <w:highlight w:val="none"/>
          <w14:textFill>
            <w14:solidFill>
              <w14:schemeClr w14:val="tx1"/>
            </w14:solidFill>
          </w14:textFill>
        </w:rPr>
        <w:t>本人</w:t>
      </w:r>
      <w:r>
        <w:rPr>
          <w:rFonts w:hint="eastAsia" w:hAnsi="宋体"/>
          <w:bCs/>
          <w:color w:val="000000" w:themeColor="text1"/>
          <w:sz w:val="24"/>
          <w:szCs w:val="24"/>
          <w:highlight w:val="none"/>
          <w:u w:val="single"/>
          <w14:textFill>
            <w14:solidFill>
              <w14:schemeClr w14:val="tx1"/>
            </w14:solidFill>
          </w14:textFill>
        </w:rPr>
        <w:t>（姓名）</w:t>
      </w:r>
      <w:r>
        <w:rPr>
          <w:rFonts w:hint="eastAsia" w:hAnsi="宋体"/>
          <w:bCs/>
          <w:color w:val="000000" w:themeColor="text1"/>
          <w:sz w:val="24"/>
          <w:szCs w:val="24"/>
          <w:highlight w:val="none"/>
          <w14:textFill>
            <w14:solidFill>
              <w14:schemeClr w14:val="tx1"/>
            </w14:solidFill>
          </w14:textFill>
        </w:rPr>
        <w:t>系</w:t>
      </w:r>
      <w:r>
        <w:rPr>
          <w:rFonts w:hint="eastAsia" w:hAnsi="宋体"/>
          <w:bCs/>
          <w:color w:val="000000" w:themeColor="text1"/>
          <w:sz w:val="24"/>
          <w:szCs w:val="24"/>
          <w:highlight w:val="none"/>
          <w:u w:val="single"/>
          <w14:textFill>
            <w14:solidFill>
              <w14:schemeClr w14:val="tx1"/>
            </w14:solidFill>
          </w14:textFill>
        </w:rPr>
        <w:t>（竞投人名称）</w:t>
      </w:r>
      <w:r>
        <w:rPr>
          <w:rFonts w:hint="eastAsia" w:hAnsi="宋体"/>
          <w:bCs/>
          <w:color w:val="000000" w:themeColor="text1"/>
          <w:sz w:val="24"/>
          <w:szCs w:val="24"/>
          <w:highlight w:val="none"/>
          <w14:textFill>
            <w14:solidFill>
              <w14:schemeClr w14:val="tx1"/>
            </w14:solidFill>
          </w14:textFill>
        </w:rPr>
        <w:t>法定代表人，现授权</w:t>
      </w:r>
      <w:r>
        <w:rPr>
          <w:rFonts w:hint="eastAsia" w:hAnsi="宋体"/>
          <w:bCs/>
          <w:color w:val="000000" w:themeColor="text1"/>
          <w:sz w:val="24"/>
          <w:szCs w:val="24"/>
          <w:highlight w:val="none"/>
          <w:u w:val="single"/>
          <w14:textFill>
            <w14:solidFill>
              <w14:schemeClr w14:val="tx1"/>
            </w14:solidFill>
          </w14:textFill>
        </w:rPr>
        <w:t>（委托代理人姓名）</w:t>
      </w:r>
      <w:r>
        <w:rPr>
          <w:rFonts w:hint="eastAsia" w:hAnsi="宋体"/>
          <w:bCs/>
          <w:color w:val="000000" w:themeColor="text1"/>
          <w:sz w:val="24"/>
          <w:szCs w:val="24"/>
          <w:highlight w:val="none"/>
          <w14:textFill>
            <w14:solidFill>
              <w14:schemeClr w14:val="tx1"/>
            </w14:solidFill>
          </w14:textFill>
        </w:rPr>
        <w:t>为我方合法委托代理人，参加</w:t>
      </w:r>
      <w:r>
        <w:rPr>
          <w:rFonts w:hint="eastAsia" w:hAnsi="宋体"/>
          <w:bCs/>
          <w:color w:val="000000" w:themeColor="text1"/>
          <w:sz w:val="24"/>
          <w:szCs w:val="24"/>
          <w:highlight w:val="none"/>
          <w:u w:val="single"/>
          <w14:textFill>
            <w14:solidFill>
              <w14:schemeClr w14:val="tx1"/>
            </w14:solidFill>
          </w14:textFill>
        </w:rPr>
        <w:t>2022年救灾物资紧急采购项目</w:t>
      </w:r>
      <w:r>
        <w:rPr>
          <w:rFonts w:hint="eastAsia" w:hAnsi="宋体"/>
          <w:color w:val="000000" w:themeColor="text1"/>
          <w:sz w:val="24"/>
          <w:szCs w:val="24"/>
          <w:highlight w:val="none"/>
          <w:u w:val="single"/>
          <w14:textFill>
            <w14:solidFill>
              <w14:schemeClr w14:val="tx1"/>
            </w14:solidFill>
          </w14:textFill>
        </w:rPr>
        <w:t>(项目编号：GZ2022JZ1000</w:t>
      </w:r>
      <w:r>
        <w:rPr>
          <w:rFonts w:hint="eastAsia" w:hAnsi="宋体"/>
          <w:color w:val="000000" w:themeColor="text1"/>
          <w:sz w:val="24"/>
          <w:szCs w:val="24"/>
          <w:highlight w:val="none"/>
          <w:u w:val="single"/>
          <w:lang w:val="en-US" w:eastAsia="zh-CN"/>
          <w14:textFill>
            <w14:solidFill>
              <w14:schemeClr w14:val="tx1"/>
            </w14:solidFill>
          </w14:textFill>
        </w:rPr>
        <w:t>2</w:t>
      </w:r>
      <w:r>
        <w:rPr>
          <w:rFonts w:hint="eastAsia" w:hAnsi="宋体"/>
          <w:color w:val="000000" w:themeColor="text1"/>
          <w:sz w:val="24"/>
          <w:szCs w:val="24"/>
          <w:highlight w:val="none"/>
          <w:u w:val="single"/>
          <w14:textFill>
            <w14:solidFill>
              <w14:schemeClr w14:val="tx1"/>
            </w14:solidFill>
          </w14:textFill>
        </w:rPr>
        <w:t>)</w:t>
      </w:r>
      <w:r>
        <w:rPr>
          <w:rFonts w:hint="eastAsia" w:hAnsi="宋体"/>
          <w:bCs/>
          <w:color w:val="000000" w:themeColor="text1"/>
          <w:sz w:val="24"/>
          <w:szCs w:val="24"/>
          <w:highlight w:val="none"/>
          <w14:textFill>
            <w14:solidFill>
              <w14:schemeClr w14:val="tx1"/>
            </w14:solidFill>
          </w14:textFill>
        </w:rPr>
        <w:t>采购活动及相关事宜。该授权代表在本采购活动过程中所签署的一切文件和处理与之有关的一切事务，均代表我方的行为，与本人的行为具有同等的法律效力。我方将承担授权代表行为的一切法律责任后果。</w:t>
      </w:r>
      <w:r>
        <w:rPr>
          <w:rFonts w:hint="eastAsia" w:hAnsi="宋体"/>
          <w:color w:val="000000" w:themeColor="text1"/>
          <w:sz w:val="24"/>
          <w:szCs w:val="24"/>
          <w:highlight w:val="none"/>
          <w:lang w:val="en-GB"/>
          <w14:textFill>
            <w14:solidFill>
              <w14:schemeClr w14:val="tx1"/>
            </w14:solidFill>
          </w14:textFill>
        </w:rPr>
        <w:t>本</w:t>
      </w:r>
      <w:r>
        <w:rPr>
          <w:rFonts w:hint="eastAsia" w:hAnsi="宋体"/>
          <w:color w:val="000000" w:themeColor="text1"/>
          <w:sz w:val="24"/>
          <w:szCs w:val="24"/>
          <w:highlight w:val="none"/>
          <w14:textFill>
            <w14:solidFill>
              <w14:schemeClr w14:val="tx1"/>
            </w14:solidFill>
          </w14:textFill>
        </w:rPr>
        <w:t>授权书</w:t>
      </w:r>
      <w:r>
        <w:rPr>
          <w:rFonts w:hint="eastAsia" w:hAnsi="宋体"/>
          <w:color w:val="000000" w:themeColor="text1"/>
          <w:sz w:val="24"/>
          <w:szCs w:val="24"/>
          <w:highlight w:val="none"/>
          <w:lang w:val="en-GB"/>
          <w14:textFill>
            <w14:solidFill>
              <w14:schemeClr w14:val="tx1"/>
            </w14:solidFill>
          </w14:textFill>
        </w:rPr>
        <w:t>有效期与本公司采购须知中标注的采购有效期相同。</w:t>
      </w:r>
    </w:p>
    <w:p>
      <w:pPr>
        <w:pStyle w:val="97"/>
        <w:spacing w:line="360" w:lineRule="auto"/>
        <w:rPr>
          <w:rFonts w:hAnsi="宋体"/>
          <w:bCs/>
          <w:color w:val="000000" w:themeColor="text1"/>
          <w:sz w:val="24"/>
          <w:szCs w:val="24"/>
          <w:highlight w:val="none"/>
          <w14:textFill>
            <w14:solidFill>
              <w14:schemeClr w14:val="tx1"/>
            </w14:solidFill>
          </w14:textFill>
        </w:rPr>
      </w:pPr>
    </w:p>
    <w:p>
      <w:pPr>
        <w:pStyle w:val="97"/>
        <w:spacing w:line="360" w:lineRule="auto"/>
        <w:rPr>
          <w:rFonts w:hAnsi="宋体"/>
          <w:bCs/>
          <w:color w:val="000000" w:themeColor="text1"/>
          <w:sz w:val="24"/>
          <w:szCs w:val="24"/>
          <w:highlight w:val="none"/>
          <w14:textFill>
            <w14:solidFill>
              <w14:schemeClr w14:val="tx1"/>
            </w14:solidFill>
          </w14:textFill>
        </w:rPr>
      </w:pPr>
    </w:p>
    <w:p>
      <w:pPr>
        <w:pStyle w:val="97"/>
        <w:spacing w:line="360" w:lineRule="auto"/>
        <w:ind w:firstLine="480" w:firstLineChars="200"/>
        <w:rPr>
          <w:rFonts w:hAnsi="宋体"/>
          <w:color w:val="000000" w:themeColor="text1"/>
          <w:sz w:val="24"/>
          <w:szCs w:val="24"/>
          <w:highlight w:val="none"/>
          <w:u w:val="singl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附：代理人性别：   年龄：   职务：</w:t>
      </w:r>
    </w:p>
    <w:p>
      <w:pPr>
        <w:pStyle w:val="97"/>
        <w:spacing w:line="360" w:lineRule="auto"/>
        <w:ind w:firstLine="480" w:firstLineChars="200"/>
        <w:rPr>
          <w:rFonts w:hAnsi="宋体"/>
          <w:color w:val="000000" w:themeColor="text1"/>
          <w:sz w:val="24"/>
          <w:szCs w:val="24"/>
          <w:highlight w:val="none"/>
          <w:u w:val="singl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　　身份证号码：</w:t>
      </w:r>
    </w:p>
    <w:p>
      <w:pPr>
        <w:pStyle w:val="97"/>
        <w:spacing w:line="360" w:lineRule="auto"/>
        <w:ind w:firstLine="480" w:firstLineChars="200"/>
        <w:rPr>
          <w:rFonts w:hAnsi="宋体"/>
          <w:color w:val="000000" w:themeColor="text1"/>
          <w:sz w:val="24"/>
          <w:szCs w:val="24"/>
          <w:highlight w:val="none"/>
          <w:u w:val="singl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　　（营业执照等）注册号码：</w:t>
      </w:r>
    </w:p>
    <w:p>
      <w:pPr>
        <w:pStyle w:val="97"/>
        <w:spacing w:line="360" w:lineRule="auto"/>
        <w:ind w:firstLine="480" w:firstLineChars="200"/>
        <w:rPr>
          <w:rFonts w:hAnsi="宋体"/>
          <w:color w:val="000000" w:themeColor="text1"/>
          <w:sz w:val="24"/>
          <w:szCs w:val="24"/>
          <w:highlight w:val="none"/>
          <w:u w:val="singl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　　 经营范围：</w:t>
      </w:r>
    </w:p>
    <w:p>
      <w:pPr>
        <w:pStyle w:val="97"/>
        <w:spacing w:line="360" w:lineRule="auto"/>
        <w:ind w:firstLine="480" w:firstLineChars="200"/>
        <w:rPr>
          <w:rFonts w:hAnsi="宋体"/>
          <w:color w:val="000000" w:themeColor="text1"/>
          <w:sz w:val="24"/>
          <w:szCs w:val="24"/>
          <w:highlight w:val="none"/>
          <w:u w:val="single"/>
          <w14:textFill>
            <w14:solidFill>
              <w14:schemeClr w14:val="tx1"/>
            </w14:solidFill>
          </w14:textFill>
        </w:rPr>
      </w:pPr>
    </w:p>
    <w:p>
      <w:pPr>
        <w:pStyle w:val="97"/>
        <w:spacing w:line="360" w:lineRule="auto"/>
        <w:ind w:firstLine="420" w:firstLineChars="200"/>
        <w:rPr>
          <w:rFonts w:hAnsi="宋体"/>
          <w:color w:val="000000" w:themeColor="text1"/>
          <w:highlight w:val="none"/>
          <w:u w:val="single"/>
          <w14:textFill>
            <w14:solidFill>
              <w14:schemeClr w14:val="tx1"/>
            </w14:solidFill>
          </w14:textFill>
        </w:rPr>
      </w:pPr>
      <w:r>
        <w:rPr>
          <w:rFonts w:hint="eastAsia" w:hAnsi="宋体"/>
          <w:color w:val="000000" w:themeColor="text1"/>
          <w:highlight w:val="none"/>
          <w14:textFill>
            <w14:solidFill>
              <w14:schemeClr w14:val="tx1"/>
            </w14:solidFill>
          </w14:textFill>
        </w:rPr>
        <w:t>　　　　　　　</w:t>
      </w:r>
    </w:p>
    <w:p>
      <w:pPr>
        <w:pStyle w:val="20"/>
        <w:spacing w:line="360" w:lineRule="auto"/>
        <w:ind w:left="3400" w:leftChars="1619" w:firstLine="1800" w:firstLineChars="750"/>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授权单位（单位公章）：</w:t>
      </w:r>
    </w:p>
    <w:p>
      <w:pPr>
        <w:pStyle w:val="20"/>
        <w:wordWrap w:val="0"/>
        <w:spacing w:line="360" w:lineRule="auto"/>
        <w:ind w:left="3400" w:leftChars="1619"/>
        <w:jc w:val="right"/>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 xml:space="preserve">   年   月   日</w:t>
      </w:r>
    </w:p>
    <w:p>
      <w:pPr>
        <w:spacing w:line="360" w:lineRule="auto"/>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br w:type="page"/>
      </w:r>
    </w:p>
    <w:p>
      <w:pPr>
        <w:spacing w:line="360" w:lineRule="auto"/>
        <w:jc w:val="center"/>
        <w:rPr>
          <w:rFonts w:eastAsiaTheme="minorEastAsia"/>
          <w:b/>
          <w:sz w:val="32"/>
          <w:szCs w:val="32"/>
          <w:highlight w:val="none"/>
        </w:rPr>
      </w:pPr>
      <w:r>
        <w:rPr>
          <w:rFonts w:eastAsiaTheme="minorEastAsia"/>
          <w:b/>
          <w:sz w:val="32"/>
          <w:szCs w:val="32"/>
          <w:highlight w:val="none"/>
        </w:rPr>
        <w:t>总公司投标授权书（分支机构适用）</w:t>
      </w:r>
    </w:p>
    <w:p>
      <w:pPr>
        <w:spacing w:line="360" w:lineRule="auto"/>
        <w:rPr>
          <w:rFonts w:eastAsiaTheme="minorEastAsia"/>
          <w:sz w:val="24"/>
          <w:szCs w:val="24"/>
          <w:highlight w:val="none"/>
        </w:rPr>
      </w:pPr>
    </w:p>
    <w:p>
      <w:pPr>
        <w:spacing w:line="360" w:lineRule="auto"/>
        <w:rPr>
          <w:rFonts w:ascii="宋体" w:hAnsi="宋体"/>
          <w:sz w:val="24"/>
          <w:szCs w:val="24"/>
          <w:highlight w:val="none"/>
        </w:rPr>
      </w:pPr>
      <w:r>
        <w:rPr>
          <w:rFonts w:ascii="宋体" w:hAnsi="宋体"/>
          <w:sz w:val="24"/>
          <w:szCs w:val="24"/>
          <w:highlight w:val="none"/>
        </w:rPr>
        <w:t>广州市储备粮管理中心/广州农村产权交易所有限公司：</w:t>
      </w:r>
    </w:p>
    <w:p>
      <w:pPr>
        <w:spacing w:line="360" w:lineRule="auto"/>
        <w:ind w:firstLine="480" w:firstLineChars="200"/>
        <w:rPr>
          <w:rFonts w:ascii="宋体" w:hAnsi="宋体"/>
          <w:sz w:val="24"/>
          <w:szCs w:val="24"/>
          <w:highlight w:val="none"/>
        </w:rPr>
      </w:pPr>
      <w:r>
        <w:rPr>
          <w:rFonts w:ascii="宋体" w:hAnsi="宋体"/>
          <w:sz w:val="24"/>
          <w:szCs w:val="24"/>
          <w:highlight w:val="none"/>
        </w:rPr>
        <w:t>我(法定代表人姓名）系（总公司名称）的法定代表人，现授权      （分公司名称）为我方合法委托代理人参加“</w:t>
      </w:r>
      <w:r>
        <w:rPr>
          <w:rFonts w:hint="eastAsia" w:ascii="宋体" w:hAnsi="宋体"/>
          <w:sz w:val="24"/>
          <w:szCs w:val="24"/>
          <w:highlight w:val="none"/>
        </w:rPr>
        <w:t>2022年救灾物资紧急采购项目</w:t>
      </w:r>
      <w:r>
        <w:rPr>
          <w:rFonts w:ascii="宋体" w:hAnsi="宋体"/>
          <w:sz w:val="24"/>
          <w:szCs w:val="24"/>
          <w:highlight w:val="none"/>
        </w:rPr>
        <w:t>”的</w:t>
      </w:r>
      <w:r>
        <w:rPr>
          <w:rFonts w:hint="eastAsia" w:ascii="宋体" w:hAnsi="宋体"/>
          <w:sz w:val="24"/>
          <w:szCs w:val="24"/>
          <w:highlight w:val="none"/>
        </w:rPr>
        <w:t>采购</w:t>
      </w:r>
      <w:r>
        <w:rPr>
          <w:rFonts w:ascii="宋体" w:hAnsi="宋体"/>
          <w:sz w:val="24"/>
          <w:szCs w:val="24"/>
          <w:highlight w:val="none"/>
        </w:rPr>
        <w:t>活动。该分公司的授权代表在本</w:t>
      </w:r>
      <w:r>
        <w:rPr>
          <w:rFonts w:hint="eastAsia" w:ascii="宋体" w:hAnsi="宋体"/>
          <w:sz w:val="24"/>
          <w:szCs w:val="24"/>
          <w:highlight w:val="none"/>
        </w:rPr>
        <w:t>采购</w:t>
      </w:r>
      <w:r>
        <w:rPr>
          <w:rFonts w:ascii="宋体" w:hAnsi="宋体"/>
          <w:sz w:val="24"/>
          <w:szCs w:val="24"/>
          <w:highlight w:val="none"/>
        </w:rPr>
        <w:t>活动过程中所签署的一切文件和处理与之有关的一切事务，均代表我方的行为，与本人的行为具有同等的法律效力。我方将承担授权代表行为的一切法律责任后果。</w:t>
      </w:r>
    </w:p>
    <w:p>
      <w:pPr>
        <w:spacing w:line="360" w:lineRule="auto"/>
        <w:rPr>
          <w:rFonts w:ascii="宋体" w:hAnsi="宋体"/>
          <w:sz w:val="24"/>
          <w:szCs w:val="24"/>
          <w:highlight w:val="none"/>
        </w:rPr>
      </w:pPr>
    </w:p>
    <w:p>
      <w:pPr>
        <w:spacing w:line="360" w:lineRule="auto"/>
        <w:rPr>
          <w:rFonts w:ascii="宋体" w:hAnsi="宋体"/>
          <w:sz w:val="24"/>
          <w:szCs w:val="24"/>
          <w:highlight w:val="none"/>
        </w:rPr>
      </w:pPr>
    </w:p>
    <w:p>
      <w:pPr>
        <w:spacing w:line="360" w:lineRule="auto"/>
        <w:rPr>
          <w:rFonts w:ascii="宋体" w:hAnsi="宋体"/>
          <w:sz w:val="24"/>
          <w:szCs w:val="24"/>
          <w:highlight w:val="none"/>
        </w:rPr>
      </w:pPr>
      <w:r>
        <w:rPr>
          <w:rFonts w:ascii="宋体" w:hAnsi="宋体"/>
          <w:sz w:val="24"/>
          <w:szCs w:val="24"/>
          <w:highlight w:val="none"/>
        </w:rPr>
        <w:t>本授权书于  年  月  日签字生效，代理人无转委托权。</w:t>
      </w:r>
    </w:p>
    <w:p>
      <w:pPr>
        <w:spacing w:line="360" w:lineRule="auto"/>
        <w:rPr>
          <w:rFonts w:ascii="宋体" w:hAnsi="宋体"/>
          <w:sz w:val="24"/>
          <w:szCs w:val="24"/>
          <w:highlight w:val="none"/>
        </w:rPr>
      </w:pPr>
    </w:p>
    <w:p>
      <w:pPr>
        <w:spacing w:line="360" w:lineRule="auto"/>
        <w:jc w:val="right"/>
        <w:rPr>
          <w:rFonts w:eastAsiaTheme="minorEastAsia"/>
          <w:sz w:val="24"/>
          <w:szCs w:val="24"/>
          <w:highlight w:val="none"/>
        </w:rPr>
      </w:pPr>
    </w:p>
    <w:p>
      <w:pPr>
        <w:spacing w:line="360" w:lineRule="auto"/>
        <w:jc w:val="right"/>
        <w:rPr>
          <w:rFonts w:eastAsiaTheme="minorEastAsia"/>
          <w:sz w:val="24"/>
          <w:szCs w:val="24"/>
          <w:highlight w:val="none"/>
        </w:rPr>
      </w:pPr>
      <w:r>
        <w:rPr>
          <w:rFonts w:eastAsiaTheme="minorEastAsia"/>
          <w:sz w:val="24"/>
          <w:szCs w:val="24"/>
          <w:highlight w:val="none"/>
        </w:rPr>
        <w:t xml:space="preserve">             授权人：（总公司名称）（盖章）</w:t>
      </w:r>
    </w:p>
    <w:p>
      <w:pPr>
        <w:spacing w:line="360" w:lineRule="auto"/>
        <w:jc w:val="right"/>
        <w:rPr>
          <w:rFonts w:eastAsiaTheme="minorEastAsia"/>
          <w:sz w:val="24"/>
          <w:szCs w:val="24"/>
          <w:highlight w:val="none"/>
        </w:rPr>
      </w:pPr>
      <w:r>
        <w:rPr>
          <w:rFonts w:eastAsiaTheme="minorEastAsia"/>
          <w:sz w:val="24"/>
          <w:szCs w:val="24"/>
          <w:highlight w:val="none"/>
        </w:rPr>
        <w:t xml:space="preserve">             法定代表人：      （签字）</w:t>
      </w:r>
    </w:p>
    <w:p>
      <w:pPr>
        <w:spacing w:line="360" w:lineRule="auto"/>
        <w:jc w:val="right"/>
        <w:rPr>
          <w:rFonts w:eastAsiaTheme="minorEastAsia"/>
          <w:sz w:val="24"/>
          <w:szCs w:val="24"/>
          <w:highlight w:val="none"/>
        </w:rPr>
      </w:pPr>
      <w:r>
        <w:rPr>
          <w:rFonts w:eastAsiaTheme="minorEastAsia"/>
          <w:sz w:val="24"/>
          <w:szCs w:val="24"/>
          <w:highlight w:val="none"/>
        </w:rPr>
        <w:t xml:space="preserve">                年    月    日</w:t>
      </w:r>
    </w:p>
    <w:p>
      <w:pPr>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br w:type="page"/>
      </w:r>
    </w:p>
    <w:p>
      <w:pPr>
        <w:spacing w:line="360" w:lineRule="auto"/>
        <w:ind w:firstLine="562"/>
        <w:jc w:val="center"/>
        <w:rPr>
          <w:rFonts w:ascii="宋体" w:hAnsi="宋体"/>
          <w:b/>
          <w:color w:val="000000" w:themeColor="text1"/>
          <w:sz w:val="32"/>
          <w:szCs w:val="28"/>
          <w:highlight w:val="none"/>
          <w:lang w:val="en-GB"/>
          <w14:textFill>
            <w14:solidFill>
              <w14:schemeClr w14:val="tx1"/>
            </w14:solidFill>
          </w14:textFill>
        </w:rPr>
      </w:pPr>
      <w:r>
        <w:rPr>
          <w:rFonts w:ascii="宋体" w:hAnsi="宋体"/>
          <w:b/>
          <w:color w:val="000000" w:themeColor="text1"/>
          <w:sz w:val="32"/>
          <w:szCs w:val="28"/>
          <w:highlight w:val="none"/>
          <w14:textFill>
            <w14:solidFill>
              <w14:schemeClr w14:val="tx1"/>
            </w14:solidFill>
          </w14:textFill>
        </w:rPr>
        <w:t>★</w:t>
      </w:r>
      <w:r>
        <w:rPr>
          <w:rFonts w:hint="eastAsia" w:ascii="宋体" w:hAnsi="宋体"/>
          <w:b/>
          <w:color w:val="000000" w:themeColor="text1"/>
          <w:sz w:val="32"/>
          <w:szCs w:val="28"/>
          <w:highlight w:val="none"/>
          <w:lang w:val="en-GB"/>
          <w14:textFill>
            <w14:solidFill>
              <w14:schemeClr w14:val="tx1"/>
            </w14:solidFill>
          </w14:textFill>
        </w:rPr>
        <w:t>实质性响应条款一览表</w:t>
      </w:r>
    </w:p>
    <w:p>
      <w:pPr>
        <w:spacing w:line="360" w:lineRule="auto"/>
        <w:rPr>
          <w:rFonts w:ascii="宋体" w:hAnsi="宋体"/>
          <w:b/>
          <w:color w:val="000000" w:themeColor="text1"/>
          <w:kern w:val="2"/>
          <w:sz w:val="24"/>
          <w:szCs w:val="24"/>
          <w:highlight w:val="none"/>
          <w14:textFill>
            <w14:solidFill>
              <w14:schemeClr w14:val="tx1"/>
            </w14:solidFill>
          </w14:textFill>
        </w:rPr>
      </w:pPr>
    </w:p>
    <w:p>
      <w:pPr>
        <w:spacing w:line="360" w:lineRule="auto"/>
        <w:ind w:firstLine="240" w:firstLineChars="100"/>
        <w:rPr>
          <w:rFonts w:ascii="宋体" w:hAnsi="宋体"/>
          <w:color w:val="000000" w:themeColor="text1"/>
          <w:kern w:val="2"/>
          <w:sz w:val="24"/>
          <w:szCs w:val="24"/>
          <w:highlight w:val="none"/>
          <w14:textFill>
            <w14:solidFill>
              <w14:schemeClr w14:val="tx1"/>
            </w14:solidFill>
          </w14:textFill>
        </w:rPr>
      </w:pPr>
      <w:r>
        <w:rPr>
          <w:rFonts w:hint="eastAsia" w:ascii="宋体" w:hAnsi="宋体"/>
          <w:color w:val="000000" w:themeColor="text1"/>
          <w:kern w:val="2"/>
          <w:sz w:val="24"/>
          <w:szCs w:val="24"/>
          <w:highlight w:val="none"/>
          <w14:textFill>
            <w14:solidFill>
              <w14:schemeClr w14:val="tx1"/>
            </w14:solidFill>
          </w14:textFill>
        </w:rPr>
        <w:t>项目名称：2022年救灾物资紧急采购项目</w:t>
      </w:r>
    </w:p>
    <w:p>
      <w:pPr>
        <w:spacing w:line="360" w:lineRule="auto"/>
        <w:ind w:firstLine="240" w:firstLineChars="100"/>
        <w:rPr>
          <w:rFonts w:ascii="宋体" w:hAnsi="宋体"/>
          <w:color w:val="000000" w:themeColor="text1"/>
          <w:kern w:val="2"/>
          <w:sz w:val="24"/>
          <w:szCs w:val="24"/>
          <w:highlight w:val="none"/>
          <w14:textFill>
            <w14:solidFill>
              <w14:schemeClr w14:val="tx1"/>
            </w14:solidFill>
          </w14:textFill>
        </w:rPr>
      </w:pPr>
      <w:r>
        <w:rPr>
          <w:rFonts w:hint="eastAsia" w:ascii="宋体" w:hAnsi="宋体"/>
          <w:color w:val="000000" w:themeColor="text1"/>
          <w:kern w:val="2"/>
          <w:sz w:val="24"/>
          <w:szCs w:val="24"/>
          <w:highlight w:val="none"/>
          <w14:textFill>
            <w14:solidFill>
              <w14:schemeClr w14:val="tx1"/>
            </w14:solidFill>
          </w14:textFill>
        </w:rPr>
        <w:t>项目编号：GZ2022JZ10002</w:t>
      </w:r>
    </w:p>
    <w:tbl>
      <w:tblPr>
        <w:tblStyle w:val="38"/>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3561"/>
        <w:gridCol w:w="2411"/>
        <w:gridCol w:w="1807"/>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实质性响应条款</w:t>
            </w: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竞投人响应情况</w:t>
            </w: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差异</w:t>
            </w: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响应条款在竞价文件的对应页码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w:t>
            </w:r>
          </w:p>
        </w:tc>
        <w:tc>
          <w:tcPr>
            <w:tcW w:w="3561" w:type="dxa"/>
            <w:tcBorders>
              <w:top w:val="single" w:color="auto" w:sz="4" w:space="0"/>
              <w:left w:val="single" w:color="auto" w:sz="4" w:space="0"/>
              <w:bottom w:val="single" w:color="auto" w:sz="4" w:space="0"/>
              <w:right w:val="single" w:color="auto" w:sz="4" w:space="0"/>
            </w:tcBorders>
            <w:vAlign w:val="center"/>
          </w:tcPr>
          <w:p>
            <w:pPr>
              <w:pStyle w:val="147"/>
              <w:spacing w:line="360" w:lineRule="auto"/>
              <w:rPr>
                <w:rFonts w:ascii="宋体" w:hAnsi="宋体"/>
                <w:color w:val="FF0000"/>
                <w:sz w:val="24"/>
                <w:highlight w:val="none"/>
              </w:rPr>
            </w:pPr>
            <w:r>
              <w:rPr>
                <w:rFonts w:hint="eastAsia" w:ascii="宋体" w:hAnsi="宋体"/>
                <w:color w:val="FF0000"/>
                <w:sz w:val="24"/>
                <w:highlight w:val="none"/>
              </w:rPr>
              <w:t>以下内容根据本采购须知带“</w:t>
            </w:r>
            <w:r>
              <w:rPr>
                <w:rFonts w:hint="eastAsia" w:ascii="宋体" w:hAnsi="宋体" w:cs="Segoe UI Symbol"/>
                <w:color w:val="FF0000"/>
                <w:sz w:val="24"/>
                <w:highlight w:val="none"/>
              </w:rPr>
              <w:t>★</w:t>
            </w:r>
            <w:r>
              <w:rPr>
                <w:rFonts w:hint="eastAsia" w:ascii="宋体" w:hAnsi="宋体"/>
                <w:color w:val="FF0000"/>
                <w:sz w:val="24"/>
                <w:highlight w:val="none"/>
              </w:rPr>
              <w:t>”号条款详细列举</w:t>
            </w: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FF0000"/>
                <w:sz w:val="24"/>
                <w:highlight w:val="none"/>
              </w:rPr>
            </w:pPr>
            <w:r>
              <w:rPr>
                <w:rFonts w:hint="eastAsia" w:ascii="宋体" w:hAnsi="宋体"/>
                <w:color w:val="FF0000"/>
                <w:sz w:val="24"/>
                <w:highlight w:val="none"/>
              </w:rPr>
              <w:t>若报价低于本项目最高限价的60%，必须说明报价理由。</w:t>
            </w: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ind w:firstLine="120" w:firstLineChars="50"/>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dxa"/>
            <w:tcBorders>
              <w:top w:val="single" w:color="auto" w:sz="4" w:space="0"/>
              <w:left w:val="single" w:color="auto" w:sz="4" w:space="0"/>
              <w:bottom w:val="single" w:color="auto" w:sz="4" w:space="0"/>
              <w:right w:val="single" w:color="auto" w:sz="4" w:space="0"/>
            </w:tcBorders>
          </w:tcPr>
          <w:p>
            <w:pPr>
              <w:pStyle w:val="147"/>
              <w:spacing w:line="360" w:lineRule="auto"/>
              <w:jc w:val="center"/>
              <w:rPr>
                <w:rFonts w:ascii="宋体" w:hAnsi="宋体"/>
                <w:color w:val="000000" w:themeColor="text1"/>
                <w:sz w:val="24"/>
                <w:highlight w:val="none"/>
                <w14:textFill>
                  <w14:solidFill>
                    <w14:schemeClr w14:val="tx1"/>
                  </w14:solidFill>
                </w14:textFill>
              </w:rPr>
            </w:pPr>
          </w:p>
        </w:tc>
        <w:tc>
          <w:tcPr>
            <w:tcW w:w="356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411"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c>
          <w:tcPr>
            <w:tcW w:w="2024" w:type="dxa"/>
            <w:tcBorders>
              <w:top w:val="single" w:color="auto" w:sz="4" w:space="0"/>
              <w:left w:val="single" w:color="auto" w:sz="4" w:space="0"/>
              <w:bottom w:val="single" w:color="auto" w:sz="4" w:space="0"/>
              <w:right w:val="single" w:color="auto" w:sz="4" w:space="0"/>
            </w:tcBorders>
          </w:tcPr>
          <w:p>
            <w:pPr>
              <w:pStyle w:val="147"/>
              <w:spacing w:line="360" w:lineRule="auto"/>
              <w:rPr>
                <w:rFonts w:ascii="宋体" w:hAnsi="宋体"/>
                <w:color w:val="000000" w:themeColor="text1"/>
                <w:sz w:val="24"/>
                <w:highlight w:val="none"/>
                <w14:textFill>
                  <w14:solidFill>
                    <w14:schemeClr w14:val="tx1"/>
                  </w14:solidFill>
                </w14:textFill>
              </w:rPr>
            </w:pPr>
          </w:p>
        </w:tc>
      </w:tr>
    </w:tbl>
    <w:p>
      <w:pPr>
        <w:pStyle w:val="147"/>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说明：</w:t>
      </w:r>
    </w:p>
    <w:p>
      <w:pPr>
        <w:pStyle w:val="147"/>
        <w:numPr>
          <w:ilvl w:val="0"/>
          <w:numId w:val="19"/>
        </w:numPr>
        <w:tabs>
          <w:tab w:val="left" w:pos="-426"/>
        </w:tabs>
        <w:spacing w:line="360" w:lineRule="auto"/>
        <w:ind w:left="0" w:right="-57" w:rightChars="-27" w:firstLine="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本表所列条款必须一一予以响应（留空视同响应），“竞投人响应情况”一栏应填写具体的响应内容，有差异的要具体说明。</w:t>
      </w:r>
    </w:p>
    <w:p>
      <w:pPr>
        <w:pStyle w:val="147"/>
        <w:numPr>
          <w:ilvl w:val="0"/>
          <w:numId w:val="19"/>
        </w:numPr>
        <w:tabs>
          <w:tab w:val="left" w:pos="-426"/>
        </w:tabs>
        <w:spacing w:line="360" w:lineRule="auto"/>
        <w:ind w:left="0" w:right="-483" w:rightChars="-230" w:firstLine="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请竞投人认真填写本表内容，如填写错误将可能导致投标无效。</w:t>
      </w: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adjustRightInd w:val="0"/>
        <w:snapToGrid w:val="0"/>
        <w:spacing w:line="360" w:lineRule="auto"/>
        <w:ind w:right="420"/>
        <w:jc w:val="center"/>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法定代表人/负责人/委托代理人（签字或盖章）：</w:t>
      </w:r>
    </w:p>
    <w:p>
      <w:pPr>
        <w:adjustRightInd w:val="0"/>
        <w:snapToGrid w:val="0"/>
        <w:spacing w:line="360" w:lineRule="auto"/>
        <w:ind w:right="420"/>
        <w:jc w:val="center"/>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竞投人名称（签章）：</w:t>
      </w:r>
    </w:p>
    <w:p>
      <w:pPr>
        <w:adjustRightInd w:val="0"/>
        <w:snapToGrid w:val="0"/>
        <w:spacing w:line="360" w:lineRule="auto"/>
        <w:ind w:right="420"/>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日期：年月日</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spacing w:line="360" w:lineRule="auto"/>
        <w:rPr>
          <w:rFonts w:ascii="宋体" w:hAnsi="宋体"/>
          <w:b/>
          <w:color w:val="000000" w:themeColor="text1"/>
          <w:sz w:val="24"/>
          <w:szCs w:val="24"/>
          <w:highlight w:val="none"/>
          <w:lang w:val="en-GB"/>
          <w14:textFill>
            <w14:solidFill>
              <w14:schemeClr w14:val="tx1"/>
            </w14:solidFill>
          </w14:textFill>
        </w:rPr>
      </w:pPr>
      <w:r>
        <w:rPr>
          <w:rFonts w:hint="eastAsia" w:ascii="宋体" w:hAnsi="宋体"/>
          <w:b/>
          <w:color w:val="000000" w:themeColor="text1"/>
          <w:sz w:val="24"/>
          <w:szCs w:val="24"/>
          <w:highlight w:val="none"/>
          <w:lang w:val="en-GB"/>
          <w14:textFill>
            <w14:solidFill>
              <w14:schemeClr w14:val="tx1"/>
            </w14:solidFill>
          </w14:textFill>
        </w:rPr>
        <w:br w:type="page"/>
      </w:r>
    </w:p>
    <w:p>
      <w:pPr>
        <w:spacing w:line="360" w:lineRule="auto"/>
        <w:ind w:firstLine="562"/>
        <w:jc w:val="center"/>
        <w:rPr>
          <w:rFonts w:ascii="宋体" w:hAnsi="宋体"/>
          <w:b/>
          <w:color w:val="000000" w:themeColor="text1"/>
          <w:sz w:val="32"/>
          <w:szCs w:val="28"/>
          <w:highlight w:val="none"/>
          <w14:textFill>
            <w14:solidFill>
              <w14:schemeClr w14:val="tx1"/>
            </w14:solidFill>
          </w14:textFill>
        </w:rPr>
      </w:pPr>
      <w:bookmarkStart w:id="198" w:name="_Toc453957441"/>
      <w:r>
        <w:rPr>
          <w:rFonts w:ascii="宋体" w:hAnsi="宋体"/>
          <w:b/>
          <w:color w:val="000000" w:themeColor="text1"/>
          <w:sz w:val="32"/>
          <w:szCs w:val="28"/>
          <w:highlight w:val="none"/>
          <w14:textFill>
            <w14:solidFill>
              <w14:schemeClr w14:val="tx1"/>
            </w14:solidFill>
          </w14:textFill>
        </w:rPr>
        <w:t>★</w:t>
      </w:r>
      <w:r>
        <w:rPr>
          <w:rFonts w:hint="eastAsia" w:ascii="宋体" w:hAnsi="宋体"/>
          <w:b/>
          <w:color w:val="000000" w:themeColor="text1"/>
          <w:sz w:val="32"/>
          <w:szCs w:val="28"/>
          <w:highlight w:val="none"/>
          <w14:textFill>
            <w14:solidFill>
              <w14:schemeClr w14:val="tx1"/>
            </w14:solidFill>
          </w14:textFill>
        </w:rPr>
        <w:t>样品清单</w:t>
      </w:r>
    </w:p>
    <w:tbl>
      <w:tblPr>
        <w:tblStyle w:val="38"/>
        <w:tblW w:w="92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685"/>
        <w:gridCol w:w="1279"/>
        <w:gridCol w:w="237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序号</w:t>
            </w:r>
          </w:p>
        </w:tc>
        <w:tc>
          <w:tcPr>
            <w:tcW w:w="2685"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名称</w:t>
            </w:r>
          </w:p>
        </w:tc>
        <w:tc>
          <w:tcPr>
            <w:tcW w:w="1279"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数量</w:t>
            </w:r>
          </w:p>
        </w:tc>
        <w:tc>
          <w:tcPr>
            <w:tcW w:w="2377" w:type="dxa"/>
            <w:shd w:val="clear" w:color="auto" w:fill="auto"/>
          </w:tcPr>
          <w:p>
            <w:pPr>
              <w:spacing w:line="360" w:lineRule="auto"/>
              <w:jc w:val="center"/>
              <w:rPr>
                <w:rFonts w:ascii="宋体" w:hAnsi="宋体"/>
                <w:b/>
                <w:bCs/>
                <w:sz w:val="24"/>
                <w:szCs w:val="21"/>
                <w:highlight w:val="none"/>
              </w:rPr>
            </w:pPr>
            <w:r>
              <w:rPr>
                <w:rFonts w:hint="eastAsia" w:ascii="宋体" w:hAnsi="宋体"/>
                <w:b/>
                <w:bCs/>
                <w:sz w:val="24"/>
                <w:szCs w:val="21"/>
                <w:highlight w:val="none"/>
              </w:rPr>
              <w:t>备注</w:t>
            </w:r>
          </w:p>
        </w:tc>
        <w:tc>
          <w:tcPr>
            <w:tcW w:w="2039" w:type="dxa"/>
          </w:tcPr>
          <w:p>
            <w:pPr>
              <w:spacing w:line="360" w:lineRule="auto"/>
              <w:jc w:val="center"/>
              <w:rPr>
                <w:rFonts w:ascii="宋体" w:hAnsi="宋体"/>
                <w:b/>
                <w:bCs/>
                <w:sz w:val="24"/>
                <w:szCs w:val="21"/>
                <w:highlight w:val="none"/>
              </w:rPr>
            </w:pPr>
            <w:r>
              <w:rPr>
                <w:rFonts w:hint="eastAsia" w:ascii="宋体" w:hAnsi="宋体"/>
                <w:b/>
                <w:bCs/>
                <w:sz w:val="24"/>
                <w:szCs w:val="21"/>
                <w:highlight w:val="none"/>
              </w:rPr>
              <w:t>竞投人提交情况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shd w:val="clear" w:color="auto" w:fill="auto"/>
            <w:vAlign w:val="center"/>
          </w:tcPr>
          <w:p>
            <w:pPr>
              <w:widowControl w:val="0"/>
              <w:spacing w:line="320" w:lineRule="exact"/>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c>
          <w:tcPr>
            <w:tcW w:w="268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0" w:beforeLines="40" w:line="360" w:lineRule="auto"/>
              <w:jc w:val="center"/>
              <w:textAlignment w:val="auto"/>
              <w:rPr>
                <w:rFonts w:hint="eastAsia" w:ascii="宋体" w:hAnsi="宋体" w:cs="宋体"/>
                <w:sz w:val="24"/>
                <w:szCs w:val="24"/>
                <w:highlight w:val="none"/>
              </w:rPr>
            </w:pPr>
            <w:r>
              <w:rPr>
                <w:rFonts w:hint="eastAsia" w:ascii="宋体" w:hAnsi="宋体" w:cs="宋体"/>
                <w:color w:val="auto"/>
                <w:sz w:val="24"/>
                <w:szCs w:val="24"/>
                <w:highlight w:val="none"/>
                <w:lang w:val="en-US" w:eastAsia="zh-CN"/>
              </w:rPr>
              <w:t>枕头（含枕套）</w:t>
            </w:r>
          </w:p>
        </w:tc>
        <w:tc>
          <w:tcPr>
            <w:tcW w:w="1279" w:type="dxa"/>
            <w:shd w:val="clear" w:color="auto" w:fill="auto"/>
            <w:vAlign w:val="center"/>
          </w:tcPr>
          <w:p>
            <w:pPr>
              <w:widowControl w:val="0"/>
              <w:spacing w:line="320" w:lineRule="exact"/>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1个</w:t>
            </w:r>
          </w:p>
        </w:tc>
        <w:tc>
          <w:tcPr>
            <w:tcW w:w="2377" w:type="dxa"/>
            <w:shd w:val="clear" w:color="auto" w:fill="auto"/>
          </w:tcPr>
          <w:p>
            <w:pPr>
              <w:widowControl w:val="0"/>
              <w:spacing w:line="320" w:lineRule="exact"/>
              <w:jc w:val="center"/>
              <w:rPr>
                <w:rFonts w:hint="eastAsia" w:ascii="宋体" w:hAnsi="宋体" w:cs="宋体"/>
                <w:sz w:val="24"/>
                <w:szCs w:val="24"/>
                <w:highlight w:val="none"/>
              </w:rPr>
            </w:pPr>
            <w:r>
              <w:rPr>
                <w:rFonts w:hint="eastAsia" w:ascii="宋体" w:hAnsi="宋体" w:eastAsia="宋体"/>
                <w:spacing w:val="-11"/>
                <w:sz w:val="24"/>
                <w:szCs w:val="21"/>
                <w:highlight w:val="none"/>
              </w:rPr>
              <w:t>提供成品样品和</w:t>
            </w:r>
            <w:r>
              <w:rPr>
                <w:rFonts w:hint="eastAsia" w:ascii="宋体" w:hAnsi="宋体"/>
                <w:spacing w:val="-11"/>
                <w:sz w:val="24"/>
                <w:szCs w:val="21"/>
                <w:highlight w:val="none"/>
                <w:lang w:val="en-US" w:eastAsia="zh-CN"/>
              </w:rPr>
              <w:t>相关报告或权威证明材料</w:t>
            </w:r>
          </w:p>
        </w:tc>
        <w:tc>
          <w:tcPr>
            <w:tcW w:w="2039" w:type="dxa"/>
          </w:tcPr>
          <w:p>
            <w:pPr>
              <w:widowControl w:val="0"/>
              <w:spacing w:line="320" w:lineRule="exact"/>
              <w:jc w:val="center"/>
              <w:rPr>
                <w:rFonts w:ascii="宋体" w:hAnsi="宋体" w:cs="宋体"/>
                <w:sz w:val="24"/>
                <w:szCs w:val="24"/>
                <w:highlight w:val="none"/>
              </w:rPr>
            </w:pPr>
          </w:p>
        </w:tc>
      </w:tr>
    </w:tbl>
    <w:p>
      <w:pPr>
        <w:widowControl w:val="0"/>
        <w:spacing w:after="200"/>
        <w:jc w:val="both"/>
        <w:rPr>
          <w:rFonts w:ascii="宋体" w:hAnsi="宋体" w:cs="宋体"/>
          <w:sz w:val="24"/>
          <w:szCs w:val="24"/>
          <w:highlight w:val="none"/>
        </w:rPr>
      </w:pPr>
      <w:r>
        <w:rPr>
          <w:rFonts w:ascii="宋体" w:hAnsi="宋体" w:cs="宋体"/>
          <w:sz w:val="24"/>
          <w:szCs w:val="24"/>
          <w:highlight w:val="none"/>
        </w:rPr>
        <w:t>填报要求：</w:t>
      </w:r>
    </w:p>
    <w:p>
      <w:pPr>
        <w:widowControl w:val="0"/>
        <w:spacing w:after="200"/>
        <w:jc w:val="both"/>
        <w:rPr>
          <w:rFonts w:ascii="宋体" w:hAnsi="宋体" w:cs="宋体"/>
          <w:sz w:val="24"/>
          <w:szCs w:val="24"/>
          <w:highlight w:val="none"/>
        </w:rPr>
      </w:pPr>
      <w:r>
        <w:rPr>
          <w:rFonts w:ascii="宋体" w:hAnsi="宋体" w:cs="宋体"/>
          <w:sz w:val="24"/>
          <w:szCs w:val="24"/>
          <w:highlight w:val="none"/>
        </w:rPr>
        <w:t>1.请</w:t>
      </w:r>
      <w:r>
        <w:rPr>
          <w:rFonts w:hint="eastAsia" w:ascii="宋体" w:hAnsi="宋体" w:cs="宋体"/>
          <w:sz w:val="24"/>
          <w:szCs w:val="24"/>
          <w:highlight w:val="none"/>
        </w:rPr>
        <w:t>竞投</w:t>
      </w:r>
      <w:r>
        <w:rPr>
          <w:rFonts w:ascii="宋体" w:hAnsi="宋体" w:cs="宋体"/>
          <w:sz w:val="24"/>
          <w:szCs w:val="24"/>
          <w:highlight w:val="none"/>
        </w:rPr>
        <w:t>人正确填写本表，并提供表中所需要的</w:t>
      </w:r>
      <w:r>
        <w:rPr>
          <w:rFonts w:hint="eastAsia" w:ascii="宋体" w:hAnsi="宋体" w:cs="宋体"/>
          <w:sz w:val="24"/>
          <w:szCs w:val="24"/>
          <w:highlight w:val="none"/>
        </w:rPr>
        <w:t>样品</w:t>
      </w:r>
      <w:r>
        <w:rPr>
          <w:rFonts w:ascii="宋体" w:hAnsi="宋体" w:cs="宋体"/>
          <w:sz w:val="24"/>
          <w:szCs w:val="24"/>
          <w:highlight w:val="none"/>
        </w:rPr>
        <w:t>。</w:t>
      </w:r>
    </w:p>
    <w:p>
      <w:pPr>
        <w:widowControl w:val="0"/>
        <w:spacing w:after="200"/>
        <w:jc w:val="both"/>
        <w:rPr>
          <w:rFonts w:ascii="宋体" w:hAnsi="宋体" w:cs="宋体"/>
          <w:sz w:val="24"/>
          <w:szCs w:val="24"/>
          <w:highlight w:val="none"/>
        </w:rPr>
      </w:pPr>
      <w:r>
        <w:rPr>
          <w:rFonts w:ascii="宋体" w:hAnsi="宋体" w:cs="宋体"/>
          <w:sz w:val="24"/>
          <w:szCs w:val="24"/>
          <w:highlight w:val="none"/>
        </w:rPr>
        <w:t>2. 请竞投人根据自身实际情况，在评审项目中对应的“</w:t>
      </w:r>
      <w:r>
        <w:rPr>
          <w:rFonts w:hint="eastAsia" w:ascii="宋体" w:hAnsi="宋体" w:cs="宋体"/>
          <w:sz w:val="24"/>
          <w:szCs w:val="24"/>
          <w:highlight w:val="none"/>
        </w:rPr>
        <w:t>竞投</w:t>
      </w:r>
      <w:r>
        <w:rPr>
          <w:rFonts w:ascii="宋体" w:hAnsi="宋体" w:cs="宋体"/>
          <w:sz w:val="24"/>
          <w:szCs w:val="24"/>
          <w:highlight w:val="none"/>
        </w:rPr>
        <w:t>人</w:t>
      </w:r>
      <w:r>
        <w:rPr>
          <w:rFonts w:hint="eastAsia" w:ascii="宋体" w:hAnsi="宋体" w:cs="宋体"/>
          <w:sz w:val="24"/>
          <w:szCs w:val="24"/>
          <w:highlight w:val="none"/>
        </w:rPr>
        <w:t>提交</w:t>
      </w:r>
      <w:r>
        <w:rPr>
          <w:rFonts w:ascii="宋体" w:hAnsi="宋体" w:cs="宋体"/>
          <w:sz w:val="24"/>
          <w:szCs w:val="24"/>
          <w:highlight w:val="none"/>
        </w:rPr>
        <w:t>情况”列内打“√”。</w:t>
      </w:r>
    </w:p>
    <w:p>
      <w:pPr>
        <w:widowControl w:val="0"/>
        <w:spacing w:after="200"/>
        <w:jc w:val="center"/>
        <w:rPr>
          <w:rFonts w:ascii="宋体" w:hAnsi="宋体" w:cs="宋体"/>
          <w:sz w:val="28"/>
          <w:szCs w:val="28"/>
          <w:highlight w:val="none"/>
        </w:rPr>
      </w:pPr>
    </w:p>
    <w:p>
      <w:pPr>
        <w:widowControl w:val="0"/>
        <w:spacing w:after="200"/>
        <w:ind w:right="80" w:firstLine="4080"/>
        <w:jc w:val="both"/>
        <w:rPr>
          <w:rFonts w:ascii="宋体" w:hAnsi="宋体" w:cs="宋体"/>
          <w:sz w:val="24"/>
          <w:szCs w:val="24"/>
          <w:highlight w:val="none"/>
        </w:rPr>
      </w:pPr>
      <w:r>
        <w:rPr>
          <w:rFonts w:hint="eastAsia" w:ascii="宋体" w:hAnsi="宋体" w:cs="宋体"/>
          <w:sz w:val="24"/>
          <w:szCs w:val="24"/>
          <w:highlight w:val="none"/>
        </w:rPr>
        <w:t>竞投</w:t>
      </w:r>
      <w:r>
        <w:rPr>
          <w:rFonts w:ascii="宋体" w:hAnsi="宋体" w:cs="宋体"/>
          <w:sz w:val="24"/>
          <w:szCs w:val="24"/>
          <w:highlight w:val="none"/>
        </w:rPr>
        <w:t>人名称（单位公章）：</w:t>
      </w:r>
    </w:p>
    <w:p>
      <w:pPr>
        <w:widowControl w:val="0"/>
        <w:spacing w:after="200"/>
        <w:ind w:right="80" w:firstLine="1920"/>
        <w:jc w:val="both"/>
        <w:rPr>
          <w:rFonts w:ascii="宋体" w:hAnsi="宋体" w:cs="宋体"/>
          <w:sz w:val="24"/>
          <w:szCs w:val="24"/>
          <w:highlight w:val="none"/>
        </w:rPr>
      </w:pPr>
      <w:r>
        <w:rPr>
          <w:rFonts w:ascii="宋体" w:hAnsi="宋体" w:cs="宋体"/>
          <w:sz w:val="24"/>
          <w:szCs w:val="24"/>
          <w:highlight w:val="none"/>
        </w:rPr>
        <w:t>法定代表人/负责人/委托代理人（签字或盖章）：</w:t>
      </w:r>
    </w:p>
    <w:p>
      <w:pPr>
        <w:widowControl w:val="0"/>
        <w:spacing w:after="200"/>
        <w:ind w:right="80" w:firstLine="1920"/>
        <w:jc w:val="both"/>
        <w:rPr>
          <w:rFonts w:ascii="宋体" w:hAnsi="宋体" w:cs="宋体"/>
          <w:sz w:val="24"/>
          <w:szCs w:val="24"/>
          <w:highlight w:val="none"/>
        </w:rPr>
      </w:pPr>
    </w:p>
    <w:p>
      <w:pPr>
        <w:widowControl w:val="0"/>
        <w:jc w:val="right"/>
        <w:rPr>
          <w:rFonts w:ascii="宋体" w:hAnsi="宋体" w:cs="宋体"/>
          <w:sz w:val="24"/>
          <w:szCs w:val="24"/>
          <w:highlight w:val="none"/>
        </w:rPr>
        <w:sectPr>
          <w:headerReference r:id="rId9" w:type="default"/>
          <w:pgSz w:w="12240" w:h="15840"/>
          <w:pgMar w:top="1440" w:right="1800" w:bottom="1440" w:left="1800" w:header="720" w:footer="720" w:gutter="0"/>
          <w:cols w:space="720" w:num="1"/>
        </w:sectPr>
      </w:pPr>
      <w:r>
        <w:rPr>
          <w:rFonts w:ascii="宋体" w:hAnsi="宋体" w:cs="宋体"/>
          <w:sz w:val="24"/>
          <w:szCs w:val="24"/>
          <w:highlight w:val="none"/>
        </w:rPr>
        <w:t>日期：    年   月   日</w:t>
      </w:r>
    </w:p>
    <w:p>
      <w:pPr>
        <w:rPr>
          <w:rFonts w:ascii="宋体" w:hAnsi="宋体"/>
          <w:b/>
          <w:color w:val="000000" w:themeColor="text1"/>
          <w:sz w:val="32"/>
          <w:szCs w:val="28"/>
          <w:highlight w:val="none"/>
          <w14:textFill>
            <w14:solidFill>
              <w14:schemeClr w14:val="tx1"/>
            </w14:solidFill>
          </w14:textFill>
        </w:rPr>
      </w:pPr>
    </w:p>
    <w:p>
      <w:pPr>
        <w:spacing w:line="360" w:lineRule="auto"/>
        <w:ind w:firstLine="562"/>
        <w:jc w:val="center"/>
        <w:rPr>
          <w:rFonts w:ascii="宋体" w:hAnsi="宋体"/>
          <w:b/>
          <w:color w:val="000000" w:themeColor="text1"/>
          <w:sz w:val="32"/>
          <w:szCs w:val="28"/>
          <w:highlight w:val="none"/>
          <w:lang w:val="en-GB"/>
          <w14:textFill>
            <w14:solidFill>
              <w14:schemeClr w14:val="tx1"/>
            </w14:solidFill>
          </w14:textFill>
        </w:rPr>
      </w:pPr>
      <w:r>
        <w:rPr>
          <w:rFonts w:ascii="宋体" w:hAnsi="宋体"/>
          <w:b/>
          <w:color w:val="000000" w:themeColor="text1"/>
          <w:sz w:val="32"/>
          <w:szCs w:val="28"/>
          <w:highlight w:val="none"/>
          <w14:textFill>
            <w14:solidFill>
              <w14:schemeClr w14:val="tx1"/>
            </w14:solidFill>
          </w14:textFill>
        </w:rPr>
        <w:t>★</w:t>
      </w:r>
      <w:r>
        <w:rPr>
          <w:rFonts w:hint="eastAsia" w:ascii="宋体" w:hAnsi="宋体"/>
          <w:b/>
          <w:color w:val="000000" w:themeColor="text1"/>
          <w:sz w:val="32"/>
          <w:szCs w:val="28"/>
          <w:highlight w:val="none"/>
          <w:lang w:val="en-GB"/>
          <w14:textFill>
            <w14:solidFill>
              <w14:schemeClr w14:val="tx1"/>
            </w14:solidFill>
          </w14:textFill>
        </w:rPr>
        <w:t>采购代理服务费承诺书</w:t>
      </w:r>
      <w:bookmarkEnd w:id="198"/>
    </w:p>
    <w:p>
      <w:pPr>
        <w:spacing w:line="360" w:lineRule="auto"/>
        <w:ind w:left="315"/>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广州农村产权交易所有限公司:</w:t>
      </w:r>
    </w:p>
    <w:p>
      <w:pPr>
        <w:widowControl w:val="0"/>
        <w:spacing w:after="200" w:line="360" w:lineRule="auto"/>
        <w:ind w:left="300" w:firstLine="480"/>
        <w:jc w:val="both"/>
        <w:rPr>
          <w:rFonts w:ascii="宋体" w:hAnsi="宋体" w:cs="宋体"/>
          <w:spacing w:val="6"/>
          <w:sz w:val="24"/>
          <w:szCs w:val="24"/>
          <w:highlight w:val="none"/>
        </w:rPr>
      </w:pPr>
      <w:r>
        <w:rPr>
          <w:rFonts w:hint="eastAsia" w:ascii="宋体" w:hAnsi="宋体" w:cs="宋体"/>
          <w:spacing w:val="6"/>
          <w:sz w:val="24"/>
          <w:szCs w:val="24"/>
          <w:highlight w:val="none"/>
        </w:rPr>
        <w:t>我方如被确定为2022年救灾物资紧急采购项目(项目编号：GZ2022JZ1000</w:t>
      </w:r>
      <w:r>
        <w:rPr>
          <w:rFonts w:hint="eastAsia" w:ascii="宋体" w:hAnsi="宋体" w:cs="宋体"/>
          <w:spacing w:val="6"/>
          <w:sz w:val="24"/>
          <w:szCs w:val="24"/>
          <w:highlight w:val="none"/>
          <w:lang w:val="en-US" w:eastAsia="zh-CN"/>
        </w:rPr>
        <w:t>2</w:t>
      </w:r>
      <w:r>
        <w:rPr>
          <w:rFonts w:hint="eastAsia" w:ascii="宋体" w:hAnsi="宋体" w:cs="宋体"/>
          <w:spacing w:val="6"/>
          <w:sz w:val="24"/>
          <w:szCs w:val="24"/>
          <w:highlight w:val="none"/>
        </w:rPr>
        <w:t>)的中标人，保证按照采购须知规定缴纳采购代理服务费后</w:t>
      </w:r>
      <w:r>
        <w:rPr>
          <w:rFonts w:ascii="宋体" w:hAnsi="宋体" w:cs="宋体"/>
          <w:spacing w:val="6"/>
          <w:sz w:val="24"/>
          <w:szCs w:val="24"/>
          <w:highlight w:val="none"/>
        </w:rPr>
        <w:t>自行下载</w:t>
      </w:r>
      <w:r>
        <w:rPr>
          <w:rFonts w:hint="eastAsia" w:ascii="宋体" w:hAnsi="宋体" w:cs="宋体"/>
          <w:spacing w:val="6"/>
          <w:sz w:val="24"/>
          <w:szCs w:val="24"/>
          <w:highlight w:val="none"/>
        </w:rPr>
        <w:t>《成交通知书》。</w:t>
      </w:r>
    </w:p>
    <w:p>
      <w:pPr>
        <w:widowControl w:val="0"/>
        <w:spacing w:after="200" w:line="360" w:lineRule="auto"/>
        <w:ind w:left="300" w:firstLine="480"/>
        <w:jc w:val="both"/>
        <w:rPr>
          <w:rFonts w:ascii="宋体" w:hAnsi="宋体" w:cs="宋体"/>
          <w:spacing w:val="6"/>
          <w:sz w:val="24"/>
          <w:szCs w:val="24"/>
          <w:highlight w:val="none"/>
        </w:rPr>
      </w:pPr>
      <w:r>
        <w:rPr>
          <w:rFonts w:hint="eastAsia" w:ascii="宋体" w:hAnsi="宋体" w:cs="宋体"/>
          <w:spacing w:val="6"/>
          <w:sz w:val="24"/>
          <w:szCs w:val="24"/>
          <w:highlight w:val="none"/>
        </w:rPr>
        <w:t>如我方违反上款承诺，我方愿承担全部因此产生的法律责任。</w:t>
      </w:r>
    </w:p>
    <w:p>
      <w:pPr>
        <w:widowControl w:val="0"/>
        <w:spacing w:after="200" w:line="360" w:lineRule="auto"/>
        <w:ind w:left="300" w:firstLine="480"/>
        <w:jc w:val="both"/>
        <w:rPr>
          <w:rFonts w:ascii="宋体" w:hAnsi="宋体" w:cs="宋体"/>
          <w:spacing w:val="6"/>
          <w:sz w:val="24"/>
          <w:szCs w:val="24"/>
          <w:highlight w:val="none"/>
        </w:rPr>
      </w:pPr>
    </w:p>
    <w:p>
      <w:pPr>
        <w:widowControl w:val="0"/>
        <w:spacing w:after="200" w:line="360" w:lineRule="auto"/>
        <w:ind w:left="300" w:firstLine="480"/>
        <w:jc w:val="both"/>
        <w:rPr>
          <w:rFonts w:ascii="宋体" w:hAnsi="宋体" w:cs="宋体"/>
          <w:spacing w:val="6"/>
          <w:sz w:val="24"/>
          <w:szCs w:val="24"/>
          <w:highlight w:val="none"/>
        </w:rPr>
      </w:pPr>
      <w:r>
        <w:rPr>
          <w:rFonts w:hint="eastAsia" w:ascii="宋体" w:hAnsi="宋体" w:cs="宋体"/>
          <w:spacing w:val="6"/>
          <w:sz w:val="24"/>
          <w:szCs w:val="24"/>
          <w:highlight w:val="none"/>
        </w:rPr>
        <w:t>特此承诺!</w:t>
      </w:r>
    </w:p>
    <w:p>
      <w:pPr>
        <w:spacing w:line="360" w:lineRule="auto"/>
        <w:ind w:left="315"/>
        <w:rPr>
          <w:rFonts w:ascii="宋体" w:hAnsi="宋体"/>
          <w:color w:val="000000" w:themeColor="text1"/>
          <w:sz w:val="24"/>
          <w:szCs w:val="24"/>
          <w:highlight w:val="none"/>
          <w14:textFill>
            <w14:solidFill>
              <w14:schemeClr w14:val="tx1"/>
            </w14:solidFill>
          </w14:textFill>
        </w:rPr>
      </w:pPr>
    </w:p>
    <w:p>
      <w:pPr>
        <w:spacing w:line="360" w:lineRule="auto"/>
        <w:ind w:left="31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竞投人名称(盖公章):</w:t>
      </w:r>
    </w:p>
    <w:p>
      <w:pPr>
        <w:spacing w:line="360" w:lineRule="auto"/>
        <w:ind w:left="31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竞投人地址:</w:t>
      </w:r>
    </w:p>
    <w:p>
      <w:pPr>
        <w:spacing w:line="360" w:lineRule="auto"/>
        <w:ind w:left="31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电话:</w:t>
      </w:r>
    </w:p>
    <w:p>
      <w:pPr>
        <w:spacing w:line="360" w:lineRule="auto"/>
        <w:ind w:left="31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传真:</w:t>
      </w:r>
    </w:p>
    <w:p>
      <w:pPr>
        <w:spacing w:line="360" w:lineRule="auto"/>
        <w:ind w:left="31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法定代表人/负责人或竞投人授权代表（签名或盖章）：</w:t>
      </w:r>
    </w:p>
    <w:p>
      <w:pPr>
        <w:spacing w:line="360" w:lineRule="auto"/>
        <w:ind w:left="31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签署日期:</w:t>
      </w:r>
    </w:p>
    <w:p>
      <w:pP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p>
    <w:p>
      <w:pPr>
        <w:adjustRightInd w:val="0"/>
        <w:snapToGrid w:val="0"/>
        <w:spacing w:line="360" w:lineRule="auto"/>
        <w:ind w:right="420"/>
        <w:jc w:val="center"/>
        <w:rPr>
          <w:rFonts w:ascii="宋体" w:hAnsi="宋体"/>
          <w:b/>
          <w:color w:val="000000" w:themeColor="text1"/>
          <w:sz w:val="24"/>
          <w:szCs w:val="21"/>
          <w:highlight w:val="none"/>
          <w14:textFill>
            <w14:solidFill>
              <w14:schemeClr w14:val="tx1"/>
            </w14:solidFill>
          </w14:textFill>
        </w:rPr>
      </w:pPr>
      <w:r>
        <w:rPr>
          <w:rFonts w:hint="eastAsia" w:ascii="宋体" w:hAnsi="宋体" w:cs="宋体"/>
          <w:b/>
          <w:color w:val="333333"/>
          <w:sz w:val="32"/>
          <w:szCs w:val="24"/>
          <w:highlight w:val="none"/>
        </w:rPr>
        <w:t>竞投人认为有必要说明的其他资料</w:t>
      </w:r>
    </w:p>
    <w:bookmarkEnd w:id="199"/>
    <w:sectPr>
      <w:footerReference r:id="rId11" w:type="first"/>
      <w:footerReference r:id="rId10" w:type="default"/>
      <w:pgSz w:w="11906" w:h="16838"/>
      <w:pgMar w:top="1418" w:right="1247" w:bottom="993" w:left="1247" w:header="851" w:footer="68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5"/>
                            <w:rPr>
                              <w:rStyle w:val="42"/>
                              <w:rFonts w:ascii="宋体" w:hAnsi="宋体"/>
                            </w:rPr>
                          </w:pPr>
                          <w:r>
                            <w:rPr>
                              <w:rFonts w:ascii="宋体" w:hAnsi="宋体"/>
                            </w:rPr>
                            <w:fldChar w:fldCharType="begin"/>
                          </w:r>
                          <w:r>
                            <w:rPr>
                              <w:rStyle w:val="42"/>
                              <w:rFonts w:ascii="宋体" w:hAnsi="宋体"/>
                            </w:rPr>
                            <w:instrText xml:space="preserve">PAGE  </w:instrText>
                          </w:r>
                          <w:r>
                            <w:rPr>
                              <w:rFonts w:ascii="宋体" w:hAnsi="宋体"/>
                            </w:rPr>
                            <w:fldChar w:fldCharType="separate"/>
                          </w:r>
                          <w:r>
                            <w:rPr>
                              <w:rStyle w:val="42"/>
                              <w:rFonts w:ascii="宋体" w:hAnsi="宋体"/>
                            </w:rPr>
                            <w:t>14</w:t>
                          </w:r>
                          <w:r>
                            <w:rPr>
                              <w:rFonts w:ascii="宋体" w:hAnsi="宋体"/>
                            </w:rPr>
                            <w:fldChar w:fldCharType="end"/>
                          </w:r>
                        </w:p>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qXm5zwAAAAUBAAAPAAAAAAAAAAEAIAAAACIAAABkcnMvZG93&#10;bnJldi54bWxQSwECFAAUAAAACACHTuJAWgst7QkCAAASBAAADgAAAAAAAAABACAAAAAeAQAAZHJz&#10;L2Uyb0RvYy54bWxQSwUGAAAAAAYABgBZAQAAmQUAAAAA&#10;">
              <v:fill on="f" focussize="0,0"/>
              <v:stroke on="f"/>
              <v:imagedata o:title=""/>
              <o:lock v:ext="edit" aspectratio="f"/>
              <v:textbox inset="0mm,0mm,0mm,0mm" style="mso-fit-shape-to-text:t;">
                <w:txbxContent>
                  <w:p>
                    <w:pPr>
                      <w:pStyle w:val="25"/>
                      <w:rPr>
                        <w:rStyle w:val="42"/>
                        <w:rFonts w:ascii="宋体" w:hAnsi="宋体"/>
                      </w:rPr>
                    </w:pPr>
                    <w:r>
                      <w:rPr>
                        <w:rFonts w:ascii="宋体" w:hAnsi="宋体"/>
                      </w:rPr>
                      <w:fldChar w:fldCharType="begin"/>
                    </w:r>
                    <w:r>
                      <w:rPr>
                        <w:rStyle w:val="42"/>
                        <w:rFonts w:ascii="宋体" w:hAnsi="宋体"/>
                      </w:rPr>
                      <w:instrText xml:space="preserve">PAGE  </w:instrText>
                    </w:r>
                    <w:r>
                      <w:rPr>
                        <w:rFonts w:ascii="宋体" w:hAnsi="宋体"/>
                      </w:rPr>
                      <w:fldChar w:fldCharType="separate"/>
                    </w:r>
                    <w:r>
                      <w:rPr>
                        <w:rStyle w:val="42"/>
                        <w:rFonts w:ascii="宋体" w:hAnsi="宋体"/>
                      </w:rPr>
                      <w:t>14</w:t>
                    </w:r>
                    <w:r>
                      <w:rPr>
                        <w:rFonts w:ascii="宋体" w:hAnsi="宋体"/>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40</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3450"/>
        <w:tab w:val="center" w:pos="4706"/>
      </w:tabs>
    </w:pPr>
    <w:r>
      <w:tab/>
    </w:r>
    <w:r>
      <w:tab/>
    </w:r>
    <w:r>
      <w:tab/>
    </w:r>
    <w:r>
      <w:fldChar w:fldCharType="begin"/>
    </w:r>
    <w:r>
      <w:instrText xml:space="preserve">PAGE   \* MERGEFORMAT</w:instrText>
    </w:r>
    <w:r>
      <w:fldChar w:fldCharType="separate"/>
    </w:r>
    <w:r>
      <w:rPr>
        <w:lang w:val="zh-CN"/>
      </w:rPr>
      <w:t>39</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szCs w:val="18"/>
      </w:rPr>
    </w:pPr>
    <w:r>
      <w:rPr>
        <w:rFonts w:hint="eastAsia"/>
        <w:szCs w:val="18"/>
      </w:rPr>
      <w:t>广州市番禺粮食储备有限公司2021年财产综合保险服务采购项目采购须知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hint="eastAsia"/>
        <w:szCs w:val="18"/>
      </w:rPr>
    </w:pPr>
    <w:r>
      <w:rPr>
        <w:rFonts w:hint="eastAsia"/>
        <w:szCs w:val="18"/>
      </w:rPr>
      <w:t>2022年</w:t>
    </w:r>
    <w:r>
      <w:rPr>
        <w:rFonts w:hint="eastAsia"/>
        <w:szCs w:val="18"/>
        <w:lang w:val="en-US" w:eastAsia="zh-CN"/>
      </w:rPr>
      <w:t>救灾物资紧急采购</w:t>
    </w:r>
    <w:r>
      <w:rPr>
        <w:rFonts w:hint="eastAsia"/>
        <w:szCs w:val="18"/>
      </w:rPr>
      <w:t>项目须知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sz w:val="18"/>
        <w:szCs w:val="18"/>
        <w:u w:val="single"/>
      </w:rPr>
      <w:t>2022年救灾物资紧急采购项目须知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6BFA9"/>
    <w:multiLevelType w:val="singleLevel"/>
    <w:tmpl w:val="8D16BFA9"/>
    <w:lvl w:ilvl="0" w:tentative="0">
      <w:start w:val="1"/>
      <w:numFmt w:val="decimal"/>
      <w:lvlText w:val="%1."/>
      <w:lvlJc w:val="left"/>
      <w:pPr>
        <w:tabs>
          <w:tab w:val="left" w:pos="312"/>
        </w:tabs>
      </w:pPr>
    </w:lvl>
  </w:abstractNum>
  <w:abstractNum w:abstractNumId="1">
    <w:nsid w:val="EF6B49DF"/>
    <w:multiLevelType w:val="singleLevel"/>
    <w:tmpl w:val="EF6B49DF"/>
    <w:lvl w:ilvl="0" w:tentative="0">
      <w:start w:val="2"/>
      <w:numFmt w:val="chineseCounting"/>
      <w:suff w:val="nothing"/>
      <w:lvlText w:val="%1、"/>
      <w:lvlJc w:val="left"/>
      <w:rPr>
        <w:rFonts w:hint="eastAsia"/>
      </w:rPr>
    </w:lvl>
  </w:abstractNum>
  <w:abstractNum w:abstractNumId="2">
    <w:nsid w:val="0CA24535"/>
    <w:multiLevelType w:val="singleLevel"/>
    <w:tmpl w:val="0CA24535"/>
    <w:lvl w:ilvl="0" w:tentative="0">
      <w:start w:val="2"/>
      <w:numFmt w:val="chineseCounting"/>
      <w:suff w:val="nothing"/>
      <w:lvlText w:val="%1、"/>
      <w:lvlJc w:val="left"/>
      <w:rPr>
        <w:rFonts w:hint="eastAsia"/>
      </w:rPr>
    </w:lvl>
  </w:abstractNum>
  <w:abstractNum w:abstractNumId="3">
    <w:nsid w:val="13A70F57"/>
    <w:multiLevelType w:val="multilevel"/>
    <w:tmpl w:val="13A70F57"/>
    <w:lvl w:ilvl="0" w:tentative="0">
      <w:start w:val="1"/>
      <w:numFmt w:val="chineseCountingThousand"/>
      <w:lvlText w:val="%1、"/>
      <w:lvlJc w:val="left"/>
      <w:pPr>
        <w:ind w:left="2694"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7687AEA"/>
    <w:multiLevelType w:val="multilevel"/>
    <w:tmpl w:val="27687AE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E246997"/>
    <w:multiLevelType w:val="multilevel"/>
    <w:tmpl w:val="2E24699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32411EB3"/>
    <w:multiLevelType w:val="multilevel"/>
    <w:tmpl w:val="32411EB3"/>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3" w:hanging="567"/>
      </w:pPr>
      <w:rPr>
        <w:rFonts w:hint="eastAsia" w:ascii="宋体" w:hAnsi="宋体" w:eastAsia="宋体"/>
        <w:b/>
        <w:color w:val="auto"/>
        <w:sz w:val="24"/>
        <w:szCs w:val="24"/>
      </w:rPr>
    </w:lvl>
    <w:lvl w:ilvl="2" w:tentative="0">
      <w:start w:val="1"/>
      <w:numFmt w:val="decimal"/>
      <w:lvlText w:val="%3."/>
      <w:lvlJc w:val="left"/>
      <w:pPr>
        <w:ind w:left="987" w:hanging="567"/>
      </w:pPr>
      <w:rPr>
        <w:rFonts w:hint="eastAsia"/>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44F65E9B"/>
    <w:multiLevelType w:val="multilevel"/>
    <w:tmpl w:val="44F65E9B"/>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1277" w:hanging="567"/>
      </w:pPr>
      <w:rPr>
        <w:rFonts w:hint="eastAsia" w:ascii="宋体" w:hAnsi="宋体" w:eastAsia="宋体"/>
        <w:sz w:val="24"/>
        <w:szCs w:val="24"/>
      </w:rPr>
    </w:lvl>
    <w:lvl w:ilvl="2" w:tentative="0">
      <w:start w:val="1"/>
      <w:numFmt w:val="decimal"/>
      <w:lvlText w:val="%3."/>
      <w:lvlJc w:val="left"/>
      <w:pPr>
        <w:ind w:left="1418" w:hanging="567"/>
      </w:pPr>
      <w:rPr>
        <w:rFonts w:hint="eastAsia" w:ascii="仿宋_GB2312" w:eastAsia="仿宋_GB2312"/>
        <w:color w:val="auto"/>
        <w:sz w:val="24"/>
        <w:szCs w:val="24"/>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5305E2F"/>
    <w:multiLevelType w:val="multilevel"/>
    <w:tmpl w:val="55305E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BA041F4"/>
    <w:multiLevelType w:val="multilevel"/>
    <w:tmpl w:val="5BA041F4"/>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993"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C050539"/>
    <w:multiLevelType w:val="multilevel"/>
    <w:tmpl w:val="5C050539"/>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5D280FF6"/>
    <w:multiLevelType w:val="multilevel"/>
    <w:tmpl w:val="5D280FF6"/>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2">
    <w:nsid w:val="62F469FB"/>
    <w:multiLevelType w:val="multilevel"/>
    <w:tmpl w:val="62F469F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5B06C00"/>
    <w:multiLevelType w:val="multilevel"/>
    <w:tmpl w:val="65B06C00"/>
    <w:lvl w:ilvl="0" w:tentative="0">
      <w:start w:val="1"/>
      <w:numFmt w:val="chineseCountingThousand"/>
      <w:lvlText w:val="(%1)"/>
      <w:lvlJc w:val="left"/>
      <w:pPr>
        <w:ind w:left="540" w:hanging="420"/>
      </w:p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4">
    <w:nsid w:val="662F6867"/>
    <w:multiLevelType w:val="multilevel"/>
    <w:tmpl w:val="662F686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B3B09F3"/>
    <w:multiLevelType w:val="multilevel"/>
    <w:tmpl w:val="6B3B09F3"/>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ind w:left="1277" w:hanging="567"/>
      </w:pPr>
      <w:rPr>
        <w:rFonts w:hint="eastAsia"/>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E6F60EA"/>
    <w:multiLevelType w:val="multilevel"/>
    <w:tmpl w:val="6E6F60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0D72BA0"/>
    <w:multiLevelType w:val="multilevel"/>
    <w:tmpl w:val="70D72BA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5727322"/>
    <w:multiLevelType w:val="multilevel"/>
    <w:tmpl w:val="75727322"/>
    <w:lvl w:ilvl="0" w:tentative="0">
      <w:start w:val="1"/>
      <w:numFmt w:val="chineseCountingThousand"/>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7"/>
  </w:num>
  <w:num w:numId="2">
    <w:abstractNumId w:val="12"/>
  </w:num>
  <w:num w:numId="3">
    <w:abstractNumId w:val="14"/>
  </w:num>
  <w:num w:numId="4">
    <w:abstractNumId w:val="13"/>
  </w:num>
  <w:num w:numId="5">
    <w:abstractNumId w:val="18"/>
  </w:num>
  <w:num w:numId="6">
    <w:abstractNumId w:val="4"/>
  </w:num>
  <w:num w:numId="7">
    <w:abstractNumId w:val="6"/>
  </w:num>
  <w:num w:numId="8">
    <w:abstractNumId w:val="11"/>
  </w:num>
  <w:num w:numId="9">
    <w:abstractNumId w:val="0"/>
  </w:num>
  <w:num w:numId="10">
    <w:abstractNumId w:val="9"/>
  </w:num>
  <w:num w:numId="11">
    <w:abstractNumId w:val="15"/>
  </w:num>
  <w:num w:numId="12">
    <w:abstractNumId w:val="2"/>
  </w:num>
  <w:num w:numId="13">
    <w:abstractNumId w:val="1"/>
  </w:num>
  <w:num w:numId="14">
    <w:abstractNumId w:val="3"/>
  </w:num>
  <w:num w:numId="15">
    <w:abstractNumId w:val="7"/>
  </w:num>
  <w:num w:numId="16">
    <w:abstractNumId w:val="5"/>
  </w:num>
  <w:num w:numId="17">
    <w:abstractNumId w:val="8"/>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jE0YzcyNGYzNjcyYjViZDk3MzBmYmY4NTlkNWQifQ=="/>
  </w:docVars>
  <w:rsids>
    <w:rsidRoot w:val="00172A27"/>
    <w:rsid w:val="000005F1"/>
    <w:rsid w:val="000006AA"/>
    <w:rsid w:val="0000111A"/>
    <w:rsid w:val="000027E8"/>
    <w:rsid w:val="00003F75"/>
    <w:rsid w:val="0000422B"/>
    <w:rsid w:val="000073F3"/>
    <w:rsid w:val="00007D64"/>
    <w:rsid w:val="0001084B"/>
    <w:rsid w:val="00010E82"/>
    <w:rsid w:val="00011135"/>
    <w:rsid w:val="00012DEB"/>
    <w:rsid w:val="000139C1"/>
    <w:rsid w:val="00013EA0"/>
    <w:rsid w:val="000141C4"/>
    <w:rsid w:val="00014214"/>
    <w:rsid w:val="000146D6"/>
    <w:rsid w:val="00014D04"/>
    <w:rsid w:val="0001586D"/>
    <w:rsid w:val="00015883"/>
    <w:rsid w:val="0001604A"/>
    <w:rsid w:val="000165A7"/>
    <w:rsid w:val="00016844"/>
    <w:rsid w:val="00017577"/>
    <w:rsid w:val="00017782"/>
    <w:rsid w:val="0002187A"/>
    <w:rsid w:val="0002196B"/>
    <w:rsid w:val="00021989"/>
    <w:rsid w:val="00022B5E"/>
    <w:rsid w:val="00022F68"/>
    <w:rsid w:val="00024269"/>
    <w:rsid w:val="00024F4C"/>
    <w:rsid w:val="00025091"/>
    <w:rsid w:val="00026DD0"/>
    <w:rsid w:val="00027691"/>
    <w:rsid w:val="000303F3"/>
    <w:rsid w:val="000308FA"/>
    <w:rsid w:val="00030924"/>
    <w:rsid w:val="00030EAA"/>
    <w:rsid w:val="00032257"/>
    <w:rsid w:val="00032388"/>
    <w:rsid w:val="00032D64"/>
    <w:rsid w:val="00034D23"/>
    <w:rsid w:val="00034FDA"/>
    <w:rsid w:val="000357ED"/>
    <w:rsid w:val="00035A78"/>
    <w:rsid w:val="00035D6A"/>
    <w:rsid w:val="00036A69"/>
    <w:rsid w:val="00036B7B"/>
    <w:rsid w:val="000378BC"/>
    <w:rsid w:val="0004071B"/>
    <w:rsid w:val="0004089A"/>
    <w:rsid w:val="00040BE6"/>
    <w:rsid w:val="000416D1"/>
    <w:rsid w:val="000419B9"/>
    <w:rsid w:val="00042145"/>
    <w:rsid w:val="0004317E"/>
    <w:rsid w:val="000446BF"/>
    <w:rsid w:val="00044E81"/>
    <w:rsid w:val="000452D3"/>
    <w:rsid w:val="00045A4D"/>
    <w:rsid w:val="00046E0A"/>
    <w:rsid w:val="000473A4"/>
    <w:rsid w:val="00047EE9"/>
    <w:rsid w:val="00050126"/>
    <w:rsid w:val="000501C2"/>
    <w:rsid w:val="00050293"/>
    <w:rsid w:val="00050B54"/>
    <w:rsid w:val="000517B7"/>
    <w:rsid w:val="0005232B"/>
    <w:rsid w:val="00053398"/>
    <w:rsid w:val="00053585"/>
    <w:rsid w:val="000538A0"/>
    <w:rsid w:val="000543E5"/>
    <w:rsid w:val="000547A5"/>
    <w:rsid w:val="00054820"/>
    <w:rsid w:val="00054F4D"/>
    <w:rsid w:val="000559CE"/>
    <w:rsid w:val="00055C7A"/>
    <w:rsid w:val="00055E2C"/>
    <w:rsid w:val="000560BB"/>
    <w:rsid w:val="000564EE"/>
    <w:rsid w:val="00056B74"/>
    <w:rsid w:val="00056BB1"/>
    <w:rsid w:val="00060676"/>
    <w:rsid w:val="00061046"/>
    <w:rsid w:val="00061091"/>
    <w:rsid w:val="000615B7"/>
    <w:rsid w:val="0006174E"/>
    <w:rsid w:val="00061E51"/>
    <w:rsid w:val="00064FB4"/>
    <w:rsid w:val="00066AA7"/>
    <w:rsid w:val="0006770E"/>
    <w:rsid w:val="0007094F"/>
    <w:rsid w:val="0007156C"/>
    <w:rsid w:val="000719F6"/>
    <w:rsid w:val="00071D8B"/>
    <w:rsid w:val="00071F48"/>
    <w:rsid w:val="000724C7"/>
    <w:rsid w:val="00073297"/>
    <w:rsid w:val="00073370"/>
    <w:rsid w:val="00073F6F"/>
    <w:rsid w:val="00074502"/>
    <w:rsid w:val="0007597A"/>
    <w:rsid w:val="00076DE4"/>
    <w:rsid w:val="00077248"/>
    <w:rsid w:val="00077BDF"/>
    <w:rsid w:val="00080530"/>
    <w:rsid w:val="000812ED"/>
    <w:rsid w:val="0008140E"/>
    <w:rsid w:val="00081AC3"/>
    <w:rsid w:val="000837D6"/>
    <w:rsid w:val="00083874"/>
    <w:rsid w:val="0008388F"/>
    <w:rsid w:val="00083D86"/>
    <w:rsid w:val="000841DB"/>
    <w:rsid w:val="00084200"/>
    <w:rsid w:val="0008469D"/>
    <w:rsid w:val="000846FF"/>
    <w:rsid w:val="00084C9D"/>
    <w:rsid w:val="00084DA7"/>
    <w:rsid w:val="000860C0"/>
    <w:rsid w:val="00086124"/>
    <w:rsid w:val="00086D1B"/>
    <w:rsid w:val="000870B6"/>
    <w:rsid w:val="00087502"/>
    <w:rsid w:val="00087916"/>
    <w:rsid w:val="00087B73"/>
    <w:rsid w:val="0009021B"/>
    <w:rsid w:val="0009037D"/>
    <w:rsid w:val="00092F42"/>
    <w:rsid w:val="0009693C"/>
    <w:rsid w:val="00096FB2"/>
    <w:rsid w:val="00097CA8"/>
    <w:rsid w:val="000A039C"/>
    <w:rsid w:val="000A0CC9"/>
    <w:rsid w:val="000A10AC"/>
    <w:rsid w:val="000A198D"/>
    <w:rsid w:val="000A32D1"/>
    <w:rsid w:val="000A32FB"/>
    <w:rsid w:val="000A4BC2"/>
    <w:rsid w:val="000A4DC2"/>
    <w:rsid w:val="000A71A5"/>
    <w:rsid w:val="000A7BCB"/>
    <w:rsid w:val="000B0DF0"/>
    <w:rsid w:val="000B1CB7"/>
    <w:rsid w:val="000B2851"/>
    <w:rsid w:val="000B3305"/>
    <w:rsid w:val="000B3516"/>
    <w:rsid w:val="000B3DEC"/>
    <w:rsid w:val="000B675B"/>
    <w:rsid w:val="000B6831"/>
    <w:rsid w:val="000B6B14"/>
    <w:rsid w:val="000B6BC0"/>
    <w:rsid w:val="000B76BE"/>
    <w:rsid w:val="000B7ABD"/>
    <w:rsid w:val="000C0CA6"/>
    <w:rsid w:val="000C1365"/>
    <w:rsid w:val="000C1AEC"/>
    <w:rsid w:val="000C1C2E"/>
    <w:rsid w:val="000C256C"/>
    <w:rsid w:val="000C2ACB"/>
    <w:rsid w:val="000C38F4"/>
    <w:rsid w:val="000C3BA3"/>
    <w:rsid w:val="000C4469"/>
    <w:rsid w:val="000C4521"/>
    <w:rsid w:val="000C4638"/>
    <w:rsid w:val="000C4B9B"/>
    <w:rsid w:val="000C5C95"/>
    <w:rsid w:val="000C5E13"/>
    <w:rsid w:val="000C7969"/>
    <w:rsid w:val="000C7F00"/>
    <w:rsid w:val="000D070E"/>
    <w:rsid w:val="000D1A6F"/>
    <w:rsid w:val="000D1F7D"/>
    <w:rsid w:val="000D46A0"/>
    <w:rsid w:val="000D529E"/>
    <w:rsid w:val="000D5A14"/>
    <w:rsid w:val="000D667A"/>
    <w:rsid w:val="000D74FC"/>
    <w:rsid w:val="000D752D"/>
    <w:rsid w:val="000D7D5B"/>
    <w:rsid w:val="000E114B"/>
    <w:rsid w:val="000E12C2"/>
    <w:rsid w:val="000E1D5B"/>
    <w:rsid w:val="000E2346"/>
    <w:rsid w:val="000E4B50"/>
    <w:rsid w:val="000E5EBA"/>
    <w:rsid w:val="000E71E4"/>
    <w:rsid w:val="000E7367"/>
    <w:rsid w:val="000F0E91"/>
    <w:rsid w:val="000F0E98"/>
    <w:rsid w:val="000F10AE"/>
    <w:rsid w:val="000F22EA"/>
    <w:rsid w:val="000F2596"/>
    <w:rsid w:val="000F411D"/>
    <w:rsid w:val="000F441D"/>
    <w:rsid w:val="000F5A39"/>
    <w:rsid w:val="000F6CE6"/>
    <w:rsid w:val="000F7782"/>
    <w:rsid w:val="000F7B09"/>
    <w:rsid w:val="00100329"/>
    <w:rsid w:val="00100939"/>
    <w:rsid w:val="00101BD4"/>
    <w:rsid w:val="00101C0D"/>
    <w:rsid w:val="001022E8"/>
    <w:rsid w:val="00102982"/>
    <w:rsid w:val="00103C5C"/>
    <w:rsid w:val="00103EAF"/>
    <w:rsid w:val="00104FDA"/>
    <w:rsid w:val="0010653F"/>
    <w:rsid w:val="00106E28"/>
    <w:rsid w:val="001078FB"/>
    <w:rsid w:val="00110495"/>
    <w:rsid w:val="001105FF"/>
    <w:rsid w:val="0011223E"/>
    <w:rsid w:val="00112C45"/>
    <w:rsid w:val="001130A4"/>
    <w:rsid w:val="001132A5"/>
    <w:rsid w:val="0011386D"/>
    <w:rsid w:val="00113D5C"/>
    <w:rsid w:val="0011506C"/>
    <w:rsid w:val="00115A5D"/>
    <w:rsid w:val="00115E52"/>
    <w:rsid w:val="00116000"/>
    <w:rsid w:val="001160AF"/>
    <w:rsid w:val="00116634"/>
    <w:rsid w:val="00116810"/>
    <w:rsid w:val="00116863"/>
    <w:rsid w:val="001169F0"/>
    <w:rsid w:val="00116A12"/>
    <w:rsid w:val="00116B0A"/>
    <w:rsid w:val="00117823"/>
    <w:rsid w:val="00117BD7"/>
    <w:rsid w:val="00120AF3"/>
    <w:rsid w:val="00120B55"/>
    <w:rsid w:val="00120D0A"/>
    <w:rsid w:val="00121A87"/>
    <w:rsid w:val="00121AF4"/>
    <w:rsid w:val="00122B00"/>
    <w:rsid w:val="00122FB1"/>
    <w:rsid w:val="0012391A"/>
    <w:rsid w:val="00125233"/>
    <w:rsid w:val="001252BB"/>
    <w:rsid w:val="001263CD"/>
    <w:rsid w:val="001274F4"/>
    <w:rsid w:val="00130C6F"/>
    <w:rsid w:val="00131991"/>
    <w:rsid w:val="00131D45"/>
    <w:rsid w:val="00132025"/>
    <w:rsid w:val="00132332"/>
    <w:rsid w:val="00132F08"/>
    <w:rsid w:val="00133320"/>
    <w:rsid w:val="001333F1"/>
    <w:rsid w:val="00133F5C"/>
    <w:rsid w:val="001343E5"/>
    <w:rsid w:val="00134433"/>
    <w:rsid w:val="0013468E"/>
    <w:rsid w:val="00135F23"/>
    <w:rsid w:val="00136257"/>
    <w:rsid w:val="00136A47"/>
    <w:rsid w:val="0013715C"/>
    <w:rsid w:val="001372CE"/>
    <w:rsid w:val="00137790"/>
    <w:rsid w:val="00137817"/>
    <w:rsid w:val="00140D11"/>
    <w:rsid w:val="00142498"/>
    <w:rsid w:val="0014252A"/>
    <w:rsid w:val="00142556"/>
    <w:rsid w:val="00142AAB"/>
    <w:rsid w:val="00142BE2"/>
    <w:rsid w:val="00143812"/>
    <w:rsid w:val="00145094"/>
    <w:rsid w:val="00146C84"/>
    <w:rsid w:val="0014717E"/>
    <w:rsid w:val="00147EEB"/>
    <w:rsid w:val="00152858"/>
    <w:rsid w:val="00152E11"/>
    <w:rsid w:val="001538E4"/>
    <w:rsid w:val="00154434"/>
    <w:rsid w:val="00154A89"/>
    <w:rsid w:val="00154AAE"/>
    <w:rsid w:val="00155817"/>
    <w:rsid w:val="00155924"/>
    <w:rsid w:val="00156269"/>
    <w:rsid w:val="001564B2"/>
    <w:rsid w:val="00157111"/>
    <w:rsid w:val="0015712B"/>
    <w:rsid w:val="001601FE"/>
    <w:rsid w:val="00160D48"/>
    <w:rsid w:val="00160EBA"/>
    <w:rsid w:val="00162EE7"/>
    <w:rsid w:val="00163A9A"/>
    <w:rsid w:val="00163CA9"/>
    <w:rsid w:val="00163DC1"/>
    <w:rsid w:val="00163EFF"/>
    <w:rsid w:val="001640A1"/>
    <w:rsid w:val="00164CA9"/>
    <w:rsid w:val="00164E56"/>
    <w:rsid w:val="00166743"/>
    <w:rsid w:val="00166755"/>
    <w:rsid w:val="001668B8"/>
    <w:rsid w:val="00166D16"/>
    <w:rsid w:val="00167593"/>
    <w:rsid w:val="00167832"/>
    <w:rsid w:val="001717BD"/>
    <w:rsid w:val="00171AD0"/>
    <w:rsid w:val="00171D63"/>
    <w:rsid w:val="00172A27"/>
    <w:rsid w:val="001735AA"/>
    <w:rsid w:val="001739FA"/>
    <w:rsid w:val="00173FC8"/>
    <w:rsid w:val="001749DD"/>
    <w:rsid w:val="00175B95"/>
    <w:rsid w:val="001765DE"/>
    <w:rsid w:val="00176F36"/>
    <w:rsid w:val="001800CF"/>
    <w:rsid w:val="001803E4"/>
    <w:rsid w:val="00181A32"/>
    <w:rsid w:val="00181B48"/>
    <w:rsid w:val="00181FE3"/>
    <w:rsid w:val="00182167"/>
    <w:rsid w:val="00182E8C"/>
    <w:rsid w:val="001831A3"/>
    <w:rsid w:val="001838E1"/>
    <w:rsid w:val="00183AEA"/>
    <w:rsid w:val="00183C32"/>
    <w:rsid w:val="00185290"/>
    <w:rsid w:val="00185567"/>
    <w:rsid w:val="001857AC"/>
    <w:rsid w:val="001858C5"/>
    <w:rsid w:val="00187170"/>
    <w:rsid w:val="00190615"/>
    <w:rsid w:val="001909DE"/>
    <w:rsid w:val="001912BA"/>
    <w:rsid w:val="00191DBC"/>
    <w:rsid w:val="00193248"/>
    <w:rsid w:val="00193487"/>
    <w:rsid w:val="00193907"/>
    <w:rsid w:val="001940D0"/>
    <w:rsid w:val="00194100"/>
    <w:rsid w:val="001946C0"/>
    <w:rsid w:val="00194C01"/>
    <w:rsid w:val="00196B56"/>
    <w:rsid w:val="0019702F"/>
    <w:rsid w:val="001975C0"/>
    <w:rsid w:val="001A08FB"/>
    <w:rsid w:val="001A1EAA"/>
    <w:rsid w:val="001A29B9"/>
    <w:rsid w:val="001A2AA9"/>
    <w:rsid w:val="001A310F"/>
    <w:rsid w:val="001A3823"/>
    <w:rsid w:val="001A4F40"/>
    <w:rsid w:val="001A5752"/>
    <w:rsid w:val="001A598B"/>
    <w:rsid w:val="001A5B0C"/>
    <w:rsid w:val="001A60D3"/>
    <w:rsid w:val="001A7215"/>
    <w:rsid w:val="001A7D05"/>
    <w:rsid w:val="001B2A51"/>
    <w:rsid w:val="001B30D9"/>
    <w:rsid w:val="001B3172"/>
    <w:rsid w:val="001B3272"/>
    <w:rsid w:val="001B36F1"/>
    <w:rsid w:val="001B3733"/>
    <w:rsid w:val="001B38F8"/>
    <w:rsid w:val="001B4212"/>
    <w:rsid w:val="001B6218"/>
    <w:rsid w:val="001B691A"/>
    <w:rsid w:val="001B6EEC"/>
    <w:rsid w:val="001C09EE"/>
    <w:rsid w:val="001C0D4C"/>
    <w:rsid w:val="001C2252"/>
    <w:rsid w:val="001C2272"/>
    <w:rsid w:val="001C2922"/>
    <w:rsid w:val="001C32AC"/>
    <w:rsid w:val="001C3856"/>
    <w:rsid w:val="001C3A74"/>
    <w:rsid w:val="001C5F68"/>
    <w:rsid w:val="001C6789"/>
    <w:rsid w:val="001C6973"/>
    <w:rsid w:val="001C6B8F"/>
    <w:rsid w:val="001C6CC4"/>
    <w:rsid w:val="001C72F1"/>
    <w:rsid w:val="001C7BAA"/>
    <w:rsid w:val="001D0A4E"/>
    <w:rsid w:val="001D11D3"/>
    <w:rsid w:val="001D1F59"/>
    <w:rsid w:val="001D21DF"/>
    <w:rsid w:val="001D2FD7"/>
    <w:rsid w:val="001D3BA6"/>
    <w:rsid w:val="001D3C6F"/>
    <w:rsid w:val="001D3DED"/>
    <w:rsid w:val="001D493C"/>
    <w:rsid w:val="001D54D0"/>
    <w:rsid w:val="001D5925"/>
    <w:rsid w:val="001D5D74"/>
    <w:rsid w:val="001D622C"/>
    <w:rsid w:val="001D6356"/>
    <w:rsid w:val="001D6729"/>
    <w:rsid w:val="001D6E3A"/>
    <w:rsid w:val="001D7B7F"/>
    <w:rsid w:val="001E04DD"/>
    <w:rsid w:val="001E1FA3"/>
    <w:rsid w:val="001E241E"/>
    <w:rsid w:val="001E3442"/>
    <w:rsid w:val="001E35D9"/>
    <w:rsid w:val="001E42E8"/>
    <w:rsid w:val="001E44DD"/>
    <w:rsid w:val="001E55DE"/>
    <w:rsid w:val="001E5DD5"/>
    <w:rsid w:val="001E60D1"/>
    <w:rsid w:val="001E6280"/>
    <w:rsid w:val="001E687E"/>
    <w:rsid w:val="001E7D52"/>
    <w:rsid w:val="001F386D"/>
    <w:rsid w:val="001F3ED4"/>
    <w:rsid w:val="001F4FE0"/>
    <w:rsid w:val="001F4FFC"/>
    <w:rsid w:val="001F5406"/>
    <w:rsid w:val="001F5805"/>
    <w:rsid w:val="001F5AA1"/>
    <w:rsid w:val="001F5CA1"/>
    <w:rsid w:val="001F5EEB"/>
    <w:rsid w:val="001F686C"/>
    <w:rsid w:val="001F6DDF"/>
    <w:rsid w:val="001F6DEF"/>
    <w:rsid w:val="00200BA7"/>
    <w:rsid w:val="002011DA"/>
    <w:rsid w:val="0020167C"/>
    <w:rsid w:val="00201736"/>
    <w:rsid w:val="00202349"/>
    <w:rsid w:val="00203650"/>
    <w:rsid w:val="0020412B"/>
    <w:rsid w:val="002041B7"/>
    <w:rsid w:val="0020552E"/>
    <w:rsid w:val="00207B67"/>
    <w:rsid w:val="0021005C"/>
    <w:rsid w:val="0021030F"/>
    <w:rsid w:val="002109E8"/>
    <w:rsid w:val="00210E45"/>
    <w:rsid w:val="00210F79"/>
    <w:rsid w:val="0021151D"/>
    <w:rsid w:val="00212E63"/>
    <w:rsid w:val="0021352E"/>
    <w:rsid w:val="00213881"/>
    <w:rsid w:val="002166B1"/>
    <w:rsid w:val="002171BA"/>
    <w:rsid w:val="00217A60"/>
    <w:rsid w:val="002204CF"/>
    <w:rsid w:val="00220904"/>
    <w:rsid w:val="00220E2C"/>
    <w:rsid w:val="0022145F"/>
    <w:rsid w:val="0022162F"/>
    <w:rsid w:val="0022229F"/>
    <w:rsid w:val="00222C78"/>
    <w:rsid w:val="00223EFC"/>
    <w:rsid w:val="00224E5D"/>
    <w:rsid w:val="0022514A"/>
    <w:rsid w:val="002255B4"/>
    <w:rsid w:val="00225B74"/>
    <w:rsid w:val="00225F72"/>
    <w:rsid w:val="00226641"/>
    <w:rsid w:val="00230566"/>
    <w:rsid w:val="00233DF0"/>
    <w:rsid w:val="0023404E"/>
    <w:rsid w:val="00234573"/>
    <w:rsid w:val="002359E6"/>
    <w:rsid w:val="0023602E"/>
    <w:rsid w:val="002360B5"/>
    <w:rsid w:val="00237D7E"/>
    <w:rsid w:val="00237F2B"/>
    <w:rsid w:val="00237FA1"/>
    <w:rsid w:val="00240AB7"/>
    <w:rsid w:val="0024416F"/>
    <w:rsid w:val="002442E6"/>
    <w:rsid w:val="00244838"/>
    <w:rsid w:val="002462E8"/>
    <w:rsid w:val="00250BA0"/>
    <w:rsid w:val="00250BC2"/>
    <w:rsid w:val="0025130F"/>
    <w:rsid w:val="00251DC1"/>
    <w:rsid w:val="00251F94"/>
    <w:rsid w:val="00253CF3"/>
    <w:rsid w:val="002542A9"/>
    <w:rsid w:val="0025544D"/>
    <w:rsid w:val="002561D9"/>
    <w:rsid w:val="002563EC"/>
    <w:rsid w:val="002565BA"/>
    <w:rsid w:val="00256745"/>
    <w:rsid w:val="00256C8E"/>
    <w:rsid w:val="00256FDC"/>
    <w:rsid w:val="002607BE"/>
    <w:rsid w:val="0026294A"/>
    <w:rsid w:val="00262971"/>
    <w:rsid w:val="00262A61"/>
    <w:rsid w:val="002631CC"/>
    <w:rsid w:val="00264210"/>
    <w:rsid w:val="00265685"/>
    <w:rsid w:val="00265CB5"/>
    <w:rsid w:val="0026756B"/>
    <w:rsid w:val="00267DC9"/>
    <w:rsid w:val="00270ACA"/>
    <w:rsid w:val="00270D85"/>
    <w:rsid w:val="00271C35"/>
    <w:rsid w:val="00272D4F"/>
    <w:rsid w:val="00273BA6"/>
    <w:rsid w:val="00274AF7"/>
    <w:rsid w:val="0027507B"/>
    <w:rsid w:val="0027525B"/>
    <w:rsid w:val="00276145"/>
    <w:rsid w:val="00276C25"/>
    <w:rsid w:val="00276D6B"/>
    <w:rsid w:val="00276E5F"/>
    <w:rsid w:val="00280931"/>
    <w:rsid w:val="00281733"/>
    <w:rsid w:val="00282001"/>
    <w:rsid w:val="00282926"/>
    <w:rsid w:val="00282A3C"/>
    <w:rsid w:val="00283B0B"/>
    <w:rsid w:val="002845B8"/>
    <w:rsid w:val="00285D42"/>
    <w:rsid w:val="00285F97"/>
    <w:rsid w:val="00290820"/>
    <w:rsid w:val="00292A6F"/>
    <w:rsid w:val="00292D12"/>
    <w:rsid w:val="00293B05"/>
    <w:rsid w:val="002946BA"/>
    <w:rsid w:val="00294892"/>
    <w:rsid w:val="002952E2"/>
    <w:rsid w:val="00295CE5"/>
    <w:rsid w:val="00296B7D"/>
    <w:rsid w:val="00297D6C"/>
    <w:rsid w:val="002A065F"/>
    <w:rsid w:val="002A0AF0"/>
    <w:rsid w:val="002A26D7"/>
    <w:rsid w:val="002A451D"/>
    <w:rsid w:val="002A4B29"/>
    <w:rsid w:val="002A620E"/>
    <w:rsid w:val="002A62F5"/>
    <w:rsid w:val="002A7499"/>
    <w:rsid w:val="002A7609"/>
    <w:rsid w:val="002A7C8F"/>
    <w:rsid w:val="002A7DD2"/>
    <w:rsid w:val="002B02C0"/>
    <w:rsid w:val="002B1B9D"/>
    <w:rsid w:val="002B2128"/>
    <w:rsid w:val="002B25FC"/>
    <w:rsid w:val="002B27FE"/>
    <w:rsid w:val="002B32D5"/>
    <w:rsid w:val="002B45AA"/>
    <w:rsid w:val="002B5B23"/>
    <w:rsid w:val="002B66ED"/>
    <w:rsid w:val="002B6EC7"/>
    <w:rsid w:val="002C014F"/>
    <w:rsid w:val="002C0851"/>
    <w:rsid w:val="002C144F"/>
    <w:rsid w:val="002C1DC2"/>
    <w:rsid w:val="002C1E16"/>
    <w:rsid w:val="002C2A1D"/>
    <w:rsid w:val="002C36F6"/>
    <w:rsid w:val="002C3C6E"/>
    <w:rsid w:val="002C43D1"/>
    <w:rsid w:val="002C485F"/>
    <w:rsid w:val="002C54EF"/>
    <w:rsid w:val="002C5714"/>
    <w:rsid w:val="002C5792"/>
    <w:rsid w:val="002C676B"/>
    <w:rsid w:val="002C6AB1"/>
    <w:rsid w:val="002C6F4B"/>
    <w:rsid w:val="002C72F4"/>
    <w:rsid w:val="002C7F5E"/>
    <w:rsid w:val="002D10FA"/>
    <w:rsid w:val="002D11A2"/>
    <w:rsid w:val="002D3A5A"/>
    <w:rsid w:val="002D3A75"/>
    <w:rsid w:val="002D60AA"/>
    <w:rsid w:val="002D665A"/>
    <w:rsid w:val="002E1C3D"/>
    <w:rsid w:val="002E2FDA"/>
    <w:rsid w:val="002E396F"/>
    <w:rsid w:val="002E3C92"/>
    <w:rsid w:val="002E4A58"/>
    <w:rsid w:val="002E4EEE"/>
    <w:rsid w:val="002E57A2"/>
    <w:rsid w:val="002E62D3"/>
    <w:rsid w:val="002E6739"/>
    <w:rsid w:val="002E7FFA"/>
    <w:rsid w:val="002F0859"/>
    <w:rsid w:val="002F0FFD"/>
    <w:rsid w:val="002F28CB"/>
    <w:rsid w:val="002F2DCA"/>
    <w:rsid w:val="002F31FD"/>
    <w:rsid w:val="002F3719"/>
    <w:rsid w:val="002F4482"/>
    <w:rsid w:val="002F49D0"/>
    <w:rsid w:val="002F523D"/>
    <w:rsid w:val="002F61EF"/>
    <w:rsid w:val="002F630E"/>
    <w:rsid w:val="002F69E9"/>
    <w:rsid w:val="002F7929"/>
    <w:rsid w:val="00301410"/>
    <w:rsid w:val="00302A17"/>
    <w:rsid w:val="00302B75"/>
    <w:rsid w:val="0030325F"/>
    <w:rsid w:val="0030347F"/>
    <w:rsid w:val="00303528"/>
    <w:rsid w:val="003035E6"/>
    <w:rsid w:val="00303B09"/>
    <w:rsid w:val="00304F30"/>
    <w:rsid w:val="00306345"/>
    <w:rsid w:val="00307119"/>
    <w:rsid w:val="00310321"/>
    <w:rsid w:val="00311D3C"/>
    <w:rsid w:val="00311F03"/>
    <w:rsid w:val="00311F8E"/>
    <w:rsid w:val="0031227D"/>
    <w:rsid w:val="003123AE"/>
    <w:rsid w:val="00312854"/>
    <w:rsid w:val="00312DA7"/>
    <w:rsid w:val="003131A0"/>
    <w:rsid w:val="0031418B"/>
    <w:rsid w:val="003149DC"/>
    <w:rsid w:val="00315589"/>
    <w:rsid w:val="00315C60"/>
    <w:rsid w:val="003169AF"/>
    <w:rsid w:val="003175D0"/>
    <w:rsid w:val="003205DF"/>
    <w:rsid w:val="00320DF2"/>
    <w:rsid w:val="00322912"/>
    <w:rsid w:val="00322921"/>
    <w:rsid w:val="00322C10"/>
    <w:rsid w:val="00324BB7"/>
    <w:rsid w:val="00325FC7"/>
    <w:rsid w:val="00326038"/>
    <w:rsid w:val="00326654"/>
    <w:rsid w:val="00326B15"/>
    <w:rsid w:val="00326D64"/>
    <w:rsid w:val="00326E3F"/>
    <w:rsid w:val="00330D60"/>
    <w:rsid w:val="00332AE4"/>
    <w:rsid w:val="00333284"/>
    <w:rsid w:val="0033534E"/>
    <w:rsid w:val="003356A6"/>
    <w:rsid w:val="00336D0D"/>
    <w:rsid w:val="003409EC"/>
    <w:rsid w:val="003417A6"/>
    <w:rsid w:val="003422A5"/>
    <w:rsid w:val="00344201"/>
    <w:rsid w:val="0034426F"/>
    <w:rsid w:val="00344D91"/>
    <w:rsid w:val="00345ADD"/>
    <w:rsid w:val="003466C3"/>
    <w:rsid w:val="00347031"/>
    <w:rsid w:val="00347286"/>
    <w:rsid w:val="00350735"/>
    <w:rsid w:val="00350C22"/>
    <w:rsid w:val="0035101F"/>
    <w:rsid w:val="003512A3"/>
    <w:rsid w:val="00351377"/>
    <w:rsid w:val="00351640"/>
    <w:rsid w:val="00351BFE"/>
    <w:rsid w:val="00352BC7"/>
    <w:rsid w:val="00353306"/>
    <w:rsid w:val="003545BA"/>
    <w:rsid w:val="00355190"/>
    <w:rsid w:val="00355EDD"/>
    <w:rsid w:val="003633FC"/>
    <w:rsid w:val="00363510"/>
    <w:rsid w:val="00364B57"/>
    <w:rsid w:val="00364CA1"/>
    <w:rsid w:val="0036545A"/>
    <w:rsid w:val="003662D3"/>
    <w:rsid w:val="00366754"/>
    <w:rsid w:val="00366D08"/>
    <w:rsid w:val="0036705B"/>
    <w:rsid w:val="003704BD"/>
    <w:rsid w:val="003706F1"/>
    <w:rsid w:val="00370942"/>
    <w:rsid w:val="00370AD7"/>
    <w:rsid w:val="00370D8B"/>
    <w:rsid w:val="00372375"/>
    <w:rsid w:val="00372CE7"/>
    <w:rsid w:val="00373C6C"/>
    <w:rsid w:val="00373D93"/>
    <w:rsid w:val="00373E2C"/>
    <w:rsid w:val="003740FF"/>
    <w:rsid w:val="00374748"/>
    <w:rsid w:val="00374CEB"/>
    <w:rsid w:val="00374F0E"/>
    <w:rsid w:val="003766F9"/>
    <w:rsid w:val="00380D1D"/>
    <w:rsid w:val="0038156B"/>
    <w:rsid w:val="00381DCD"/>
    <w:rsid w:val="0038247C"/>
    <w:rsid w:val="003827F6"/>
    <w:rsid w:val="00383955"/>
    <w:rsid w:val="00385C7A"/>
    <w:rsid w:val="00385FD4"/>
    <w:rsid w:val="003863B2"/>
    <w:rsid w:val="0038684F"/>
    <w:rsid w:val="00386CD0"/>
    <w:rsid w:val="00386FF0"/>
    <w:rsid w:val="00391FE3"/>
    <w:rsid w:val="00392669"/>
    <w:rsid w:val="00393076"/>
    <w:rsid w:val="003938CE"/>
    <w:rsid w:val="00393E36"/>
    <w:rsid w:val="00394069"/>
    <w:rsid w:val="00394261"/>
    <w:rsid w:val="00394E63"/>
    <w:rsid w:val="00395BA9"/>
    <w:rsid w:val="00396150"/>
    <w:rsid w:val="0039623C"/>
    <w:rsid w:val="00396F4E"/>
    <w:rsid w:val="003972DF"/>
    <w:rsid w:val="00397DE5"/>
    <w:rsid w:val="003A18E4"/>
    <w:rsid w:val="003A2775"/>
    <w:rsid w:val="003A438E"/>
    <w:rsid w:val="003A43E1"/>
    <w:rsid w:val="003A6D0D"/>
    <w:rsid w:val="003A7779"/>
    <w:rsid w:val="003A7D09"/>
    <w:rsid w:val="003B07C3"/>
    <w:rsid w:val="003B0C15"/>
    <w:rsid w:val="003B0CB8"/>
    <w:rsid w:val="003B0E6B"/>
    <w:rsid w:val="003B1370"/>
    <w:rsid w:val="003B1FC1"/>
    <w:rsid w:val="003B24C5"/>
    <w:rsid w:val="003B2880"/>
    <w:rsid w:val="003B4F01"/>
    <w:rsid w:val="003B5468"/>
    <w:rsid w:val="003B55B3"/>
    <w:rsid w:val="003B64F6"/>
    <w:rsid w:val="003B68B4"/>
    <w:rsid w:val="003B6978"/>
    <w:rsid w:val="003B7504"/>
    <w:rsid w:val="003C0466"/>
    <w:rsid w:val="003C07B8"/>
    <w:rsid w:val="003C086A"/>
    <w:rsid w:val="003C1FFC"/>
    <w:rsid w:val="003C3778"/>
    <w:rsid w:val="003C3C07"/>
    <w:rsid w:val="003C3D6E"/>
    <w:rsid w:val="003C41F8"/>
    <w:rsid w:val="003C4208"/>
    <w:rsid w:val="003C4F9D"/>
    <w:rsid w:val="003C52DD"/>
    <w:rsid w:val="003C5BE9"/>
    <w:rsid w:val="003C62C2"/>
    <w:rsid w:val="003C715A"/>
    <w:rsid w:val="003C78A7"/>
    <w:rsid w:val="003C78ED"/>
    <w:rsid w:val="003D0E2F"/>
    <w:rsid w:val="003D24CB"/>
    <w:rsid w:val="003D2728"/>
    <w:rsid w:val="003D2E16"/>
    <w:rsid w:val="003D2E67"/>
    <w:rsid w:val="003D3420"/>
    <w:rsid w:val="003D4ECE"/>
    <w:rsid w:val="003D585F"/>
    <w:rsid w:val="003D5C81"/>
    <w:rsid w:val="003D7AFF"/>
    <w:rsid w:val="003E0B97"/>
    <w:rsid w:val="003E0FE3"/>
    <w:rsid w:val="003E1568"/>
    <w:rsid w:val="003E178C"/>
    <w:rsid w:val="003E1A65"/>
    <w:rsid w:val="003E20EA"/>
    <w:rsid w:val="003E2A8F"/>
    <w:rsid w:val="003E3E7D"/>
    <w:rsid w:val="003E46BA"/>
    <w:rsid w:val="003E5371"/>
    <w:rsid w:val="003E7B79"/>
    <w:rsid w:val="003E7CE6"/>
    <w:rsid w:val="003F01D4"/>
    <w:rsid w:val="003F2754"/>
    <w:rsid w:val="003F28EF"/>
    <w:rsid w:val="003F2B55"/>
    <w:rsid w:val="003F33BF"/>
    <w:rsid w:val="003F4195"/>
    <w:rsid w:val="003F41A2"/>
    <w:rsid w:val="003F44FC"/>
    <w:rsid w:val="003F465A"/>
    <w:rsid w:val="003F46FE"/>
    <w:rsid w:val="003F4FED"/>
    <w:rsid w:val="003F568F"/>
    <w:rsid w:val="003F5C9F"/>
    <w:rsid w:val="003F703C"/>
    <w:rsid w:val="003F79C1"/>
    <w:rsid w:val="003F7C32"/>
    <w:rsid w:val="003F7FB7"/>
    <w:rsid w:val="0040046D"/>
    <w:rsid w:val="00400496"/>
    <w:rsid w:val="00400C01"/>
    <w:rsid w:val="00400D60"/>
    <w:rsid w:val="00401231"/>
    <w:rsid w:val="0040215E"/>
    <w:rsid w:val="00402317"/>
    <w:rsid w:val="0040261B"/>
    <w:rsid w:val="00402811"/>
    <w:rsid w:val="00402885"/>
    <w:rsid w:val="00403265"/>
    <w:rsid w:val="00403CFD"/>
    <w:rsid w:val="00404216"/>
    <w:rsid w:val="00404C56"/>
    <w:rsid w:val="00405471"/>
    <w:rsid w:val="0040637A"/>
    <w:rsid w:val="004064A5"/>
    <w:rsid w:val="00407410"/>
    <w:rsid w:val="0040741F"/>
    <w:rsid w:val="00407A97"/>
    <w:rsid w:val="004105C1"/>
    <w:rsid w:val="00410C20"/>
    <w:rsid w:val="0041168E"/>
    <w:rsid w:val="00412164"/>
    <w:rsid w:val="004127FE"/>
    <w:rsid w:val="00412A1B"/>
    <w:rsid w:val="00413010"/>
    <w:rsid w:val="00413130"/>
    <w:rsid w:val="00413D87"/>
    <w:rsid w:val="00413E8E"/>
    <w:rsid w:val="004161C9"/>
    <w:rsid w:val="00416FE6"/>
    <w:rsid w:val="00417078"/>
    <w:rsid w:val="00417552"/>
    <w:rsid w:val="004205A0"/>
    <w:rsid w:val="00420FF3"/>
    <w:rsid w:val="00421735"/>
    <w:rsid w:val="0042260F"/>
    <w:rsid w:val="0042382D"/>
    <w:rsid w:val="0042405B"/>
    <w:rsid w:val="00424A4B"/>
    <w:rsid w:val="00424B75"/>
    <w:rsid w:val="00424CD3"/>
    <w:rsid w:val="00424EE2"/>
    <w:rsid w:val="0042500C"/>
    <w:rsid w:val="00425C22"/>
    <w:rsid w:val="004267A8"/>
    <w:rsid w:val="0042787C"/>
    <w:rsid w:val="00427A3B"/>
    <w:rsid w:val="004324D9"/>
    <w:rsid w:val="00433925"/>
    <w:rsid w:val="00433D41"/>
    <w:rsid w:val="0043458E"/>
    <w:rsid w:val="00434DAE"/>
    <w:rsid w:val="00435DC9"/>
    <w:rsid w:val="004374D1"/>
    <w:rsid w:val="00437DDE"/>
    <w:rsid w:val="00437E15"/>
    <w:rsid w:val="004403B5"/>
    <w:rsid w:val="0044041D"/>
    <w:rsid w:val="004427B2"/>
    <w:rsid w:val="00442FBF"/>
    <w:rsid w:val="00443431"/>
    <w:rsid w:val="00443667"/>
    <w:rsid w:val="00443757"/>
    <w:rsid w:val="00444B0E"/>
    <w:rsid w:val="00445A4E"/>
    <w:rsid w:val="00445D49"/>
    <w:rsid w:val="00447863"/>
    <w:rsid w:val="0045058F"/>
    <w:rsid w:val="00450CC1"/>
    <w:rsid w:val="00451723"/>
    <w:rsid w:val="00451800"/>
    <w:rsid w:val="004520CF"/>
    <w:rsid w:val="00452516"/>
    <w:rsid w:val="0045279B"/>
    <w:rsid w:val="0045292D"/>
    <w:rsid w:val="00455B6A"/>
    <w:rsid w:val="00456B29"/>
    <w:rsid w:val="0045758B"/>
    <w:rsid w:val="00457D31"/>
    <w:rsid w:val="00460719"/>
    <w:rsid w:val="004609BF"/>
    <w:rsid w:val="004647E7"/>
    <w:rsid w:val="00464F56"/>
    <w:rsid w:val="0046557A"/>
    <w:rsid w:val="00465DB4"/>
    <w:rsid w:val="00467287"/>
    <w:rsid w:val="00467344"/>
    <w:rsid w:val="004677EC"/>
    <w:rsid w:val="00467D26"/>
    <w:rsid w:val="00470998"/>
    <w:rsid w:val="00470A51"/>
    <w:rsid w:val="004723D0"/>
    <w:rsid w:val="0047271D"/>
    <w:rsid w:val="00472BB7"/>
    <w:rsid w:val="004733A3"/>
    <w:rsid w:val="004741C2"/>
    <w:rsid w:val="00474D24"/>
    <w:rsid w:val="004752A7"/>
    <w:rsid w:val="00475628"/>
    <w:rsid w:val="00475674"/>
    <w:rsid w:val="00475881"/>
    <w:rsid w:val="00480190"/>
    <w:rsid w:val="004804AF"/>
    <w:rsid w:val="00481094"/>
    <w:rsid w:val="00481A61"/>
    <w:rsid w:val="00483B4D"/>
    <w:rsid w:val="004841EB"/>
    <w:rsid w:val="00484E10"/>
    <w:rsid w:val="00485188"/>
    <w:rsid w:val="0048563E"/>
    <w:rsid w:val="00485BD6"/>
    <w:rsid w:val="004861F1"/>
    <w:rsid w:val="004862A6"/>
    <w:rsid w:val="00486916"/>
    <w:rsid w:val="00486BEB"/>
    <w:rsid w:val="00487348"/>
    <w:rsid w:val="004876D6"/>
    <w:rsid w:val="004904FE"/>
    <w:rsid w:val="00490F7D"/>
    <w:rsid w:val="00492023"/>
    <w:rsid w:val="00492383"/>
    <w:rsid w:val="00492C80"/>
    <w:rsid w:val="00492EB3"/>
    <w:rsid w:val="004934B6"/>
    <w:rsid w:val="00493A64"/>
    <w:rsid w:val="00493CE5"/>
    <w:rsid w:val="00493F69"/>
    <w:rsid w:val="0049472D"/>
    <w:rsid w:val="0049752C"/>
    <w:rsid w:val="004A1048"/>
    <w:rsid w:val="004A2039"/>
    <w:rsid w:val="004A2B25"/>
    <w:rsid w:val="004A343A"/>
    <w:rsid w:val="004A3C9B"/>
    <w:rsid w:val="004A3D5A"/>
    <w:rsid w:val="004A4779"/>
    <w:rsid w:val="004A483A"/>
    <w:rsid w:val="004A4976"/>
    <w:rsid w:val="004A5EA6"/>
    <w:rsid w:val="004A6AB3"/>
    <w:rsid w:val="004A6F22"/>
    <w:rsid w:val="004B1BD5"/>
    <w:rsid w:val="004B1D1A"/>
    <w:rsid w:val="004B2C1D"/>
    <w:rsid w:val="004B6014"/>
    <w:rsid w:val="004B7631"/>
    <w:rsid w:val="004B7F79"/>
    <w:rsid w:val="004C0109"/>
    <w:rsid w:val="004C0ABF"/>
    <w:rsid w:val="004C144E"/>
    <w:rsid w:val="004C1C8C"/>
    <w:rsid w:val="004C1CAC"/>
    <w:rsid w:val="004C2932"/>
    <w:rsid w:val="004C3487"/>
    <w:rsid w:val="004C4A62"/>
    <w:rsid w:val="004C57BD"/>
    <w:rsid w:val="004C60B7"/>
    <w:rsid w:val="004C66BF"/>
    <w:rsid w:val="004C6C13"/>
    <w:rsid w:val="004C70EB"/>
    <w:rsid w:val="004D07BE"/>
    <w:rsid w:val="004D14EF"/>
    <w:rsid w:val="004D17B3"/>
    <w:rsid w:val="004D296D"/>
    <w:rsid w:val="004D31AF"/>
    <w:rsid w:val="004D435B"/>
    <w:rsid w:val="004D440C"/>
    <w:rsid w:val="004D443B"/>
    <w:rsid w:val="004D4BDE"/>
    <w:rsid w:val="004D784F"/>
    <w:rsid w:val="004D7CDE"/>
    <w:rsid w:val="004E02C8"/>
    <w:rsid w:val="004E03D5"/>
    <w:rsid w:val="004E09D2"/>
    <w:rsid w:val="004E17C7"/>
    <w:rsid w:val="004E185C"/>
    <w:rsid w:val="004E223E"/>
    <w:rsid w:val="004E2273"/>
    <w:rsid w:val="004E22B6"/>
    <w:rsid w:val="004E2A74"/>
    <w:rsid w:val="004E48C0"/>
    <w:rsid w:val="004E5910"/>
    <w:rsid w:val="004E597E"/>
    <w:rsid w:val="004E5AEA"/>
    <w:rsid w:val="004E6155"/>
    <w:rsid w:val="004E740F"/>
    <w:rsid w:val="004F02E9"/>
    <w:rsid w:val="004F0976"/>
    <w:rsid w:val="004F143E"/>
    <w:rsid w:val="004F1D37"/>
    <w:rsid w:val="004F2364"/>
    <w:rsid w:val="004F2EBA"/>
    <w:rsid w:val="004F319C"/>
    <w:rsid w:val="004F361F"/>
    <w:rsid w:val="004F4F7E"/>
    <w:rsid w:val="004F56A9"/>
    <w:rsid w:val="004F6975"/>
    <w:rsid w:val="004F7209"/>
    <w:rsid w:val="004F73B8"/>
    <w:rsid w:val="004F79A8"/>
    <w:rsid w:val="0050025E"/>
    <w:rsid w:val="00500C70"/>
    <w:rsid w:val="0050117A"/>
    <w:rsid w:val="005028E0"/>
    <w:rsid w:val="00502C1A"/>
    <w:rsid w:val="00502E4B"/>
    <w:rsid w:val="005046BF"/>
    <w:rsid w:val="00504722"/>
    <w:rsid w:val="00507B11"/>
    <w:rsid w:val="0051132C"/>
    <w:rsid w:val="00511E05"/>
    <w:rsid w:val="00512C09"/>
    <w:rsid w:val="00512FF1"/>
    <w:rsid w:val="0051346B"/>
    <w:rsid w:val="0051377C"/>
    <w:rsid w:val="00514535"/>
    <w:rsid w:val="00515293"/>
    <w:rsid w:val="005161B8"/>
    <w:rsid w:val="0051664E"/>
    <w:rsid w:val="0051673B"/>
    <w:rsid w:val="00516CF0"/>
    <w:rsid w:val="005170E2"/>
    <w:rsid w:val="00517CC6"/>
    <w:rsid w:val="00517F12"/>
    <w:rsid w:val="00520660"/>
    <w:rsid w:val="0052192C"/>
    <w:rsid w:val="005225FE"/>
    <w:rsid w:val="0052271A"/>
    <w:rsid w:val="00523056"/>
    <w:rsid w:val="005234A4"/>
    <w:rsid w:val="00524399"/>
    <w:rsid w:val="00524730"/>
    <w:rsid w:val="00524BB1"/>
    <w:rsid w:val="00525C41"/>
    <w:rsid w:val="00526639"/>
    <w:rsid w:val="0052725B"/>
    <w:rsid w:val="00530A37"/>
    <w:rsid w:val="00530A9E"/>
    <w:rsid w:val="0053114A"/>
    <w:rsid w:val="0053221D"/>
    <w:rsid w:val="005330CF"/>
    <w:rsid w:val="00533F96"/>
    <w:rsid w:val="005367B6"/>
    <w:rsid w:val="0054081F"/>
    <w:rsid w:val="00543305"/>
    <w:rsid w:val="005439ED"/>
    <w:rsid w:val="00543B13"/>
    <w:rsid w:val="005442B6"/>
    <w:rsid w:val="005445C7"/>
    <w:rsid w:val="00544D5F"/>
    <w:rsid w:val="00545A5C"/>
    <w:rsid w:val="00545B5C"/>
    <w:rsid w:val="00545D97"/>
    <w:rsid w:val="0054714D"/>
    <w:rsid w:val="00547592"/>
    <w:rsid w:val="00551751"/>
    <w:rsid w:val="00551EA2"/>
    <w:rsid w:val="00552C34"/>
    <w:rsid w:val="00553F31"/>
    <w:rsid w:val="00554594"/>
    <w:rsid w:val="00554D90"/>
    <w:rsid w:val="00554E17"/>
    <w:rsid w:val="005557DB"/>
    <w:rsid w:val="00555AD5"/>
    <w:rsid w:val="00555BCB"/>
    <w:rsid w:val="0055692F"/>
    <w:rsid w:val="00557188"/>
    <w:rsid w:val="00557C9E"/>
    <w:rsid w:val="00560280"/>
    <w:rsid w:val="0056031E"/>
    <w:rsid w:val="0056172D"/>
    <w:rsid w:val="005624BA"/>
    <w:rsid w:val="005625F2"/>
    <w:rsid w:val="00564131"/>
    <w:rsid w:val="00564AC0"/>
    <w:rsid w:val="00564C32"/>
    <w:rsid w:val="005653A9"/>
    <w:rsid w:val="00566579"/>
    <w:rsid w:val="00566762"/>
    <w:rsid w:val="00566A95"/>
    <w:rsid w:val="0056751D"/>
    <w:rsid w:val="005675D9"/>
    <w:rsid w:val="005676D7"/>
    <w:rsid w:val="005679C9"/>
    <w:rsid w:val="00567B80"/>
    <w:rsid w:val="00571813"/>
    <w:rsid w:val="00572C6F"/>
    <w:rsid w:val="005737B3"/>
    <w:rsid w:val="005738C0"/>
    <w:rsid w:val="00573EE3"/>
    <w:rsid w:val="00574821"/>
    <w:rsid w:val="00574872"/>
    <w:rsid w:val="00575623"/>
    <w:rsid w:val="00575B24"/>
    <w:rsid w:val="00575D9A"/>
    <w:rsid w:val="00576D5F"/>
    <w:rsid w:val="00577AAA"/>
    <w:rsid w:val="00577E51"/>
    <w:rsid w:val="0058097E"/>
    <w:rsid w:val="00580DB2"/>
    <w:rsid w:val="00581201"/>
    <w:rsid w:val="005818CC"/>
    <w:rsid w:val="00582169"/>
    <w:rsid w:val="00582E19"/>
    <w:rsid w:val="00583211"/>
    <w:rsid w:val="005838EE"/>
    <w:rsid w:val="00583AF4"/>
    <w:rsid w:val="00583FE6"/>
    <w:rsid w:val="00584133"/>
    <w:rsid w:val="005846E8"/>
    <w:rsid w:val="00584BD6"/>
    <w:rsid w:val="00585E09"/>
    <w:rsid w:val="00586096"/>
    <w:rsid w:val="00586399"/>
    <w:rsid w:val="00586488"/>
    <w:rsid w:val="00587C3A"/>
    <w:rsid w:val="00587DAC"/>
    <w:rsid w:val="0059032B"/>
    <w:rsid w:val="00590F18"/>
    <w:rsid w:val="00591087"/>
    <w:rsid w:val="00591201"/>
    <w:rsid w:val="00591451"/>
    <w:rsid w:val="0059147E"/>
    <w:rsid w:val="005929D0"/>
    <w:rsid w:val="0059324A"/>
    <w:rsid w:val="00593C8D"/>
    <w:rsid w:val="00594583"/>
    <w:rsid w:val="005945B9"/>
    <w:rsid w:val="00595C6F"/>
    <w:rsid w:val="00596577"/>
    <w:rsid w:val="00596CC8"/>
    <w:rsid w:val="005971F4"/>
    <w:rsid w:val="00597A0A"/>
    <w:rsid w:val="005A3991"/>
    <w:rsid w:val="005A3EC3"/>
    <w:rsid w:val="005A4156"/>
    <w:rsid w:val="005A450A"/>
    <w:rsid w:val="005A6316"/>
    <w:rsid w:val="005A6616"/>
    <w:rsid w:val="005A6A46"/>
    <w:rsid w:val="005A7237"/>
    <w:rsid w:val="005B0091"/>
    <w:rsid w:val="005B044C"/>
    <w:rsid w:val="005B16E3"/>
    <w:rsid w:val="005B2420"/>
    <w:rsid w:val="005B26FF"/>
    <w:rsid w:val="005B2E09"/>
    <w:rsid w:val="005B2F4B"/>
    <w:rsid w:val="005B381A"/>
    <w:rsid w:val="005B3CA8"/>
    <w:rsid w:val="005B457F"/>
    <w:rsid w:val="005B489E"/>
    <w:rsid w:val="005B4C34"/>
    <w:rsid w:val="005B68DE"/>
    <w:rsid w:val="005B73EC"/>
    <w:rsid w:val="005B76FB"/>
    <w:rsid w:val="005C02CA"/>
    <w:rsid w:val="005C14FC"/>
    <w:rsid w:val="005C159E"/>
    <w:rsid w:val="005C1C24"/>
    <w:rsid w:val="005C1F9D"/>
    <w:rsid w:val="005C2615"/>
    <w:rsid w:val="005C2A33"/>
    <w:rsid w:val="005C2ACF"/>
    <w:rsid w:val="005C3992"/>
    <w:rsid w:val="005C3AEC"/>
    <w:rsid w:val="005C422D"/>
    <w:rsid w:val="005C433A"/>
    <w:rsid w:val="005C5318"/>
    <w:rsid w:val="005C5F56"/>
    <w:rsid w:val="005C6197"/>
    <w:rsid w:val="005C63F1"/>
    <w:rsid w:val="005C71FA"/>
    <w:rsid w:val="005D18E6"/>
    <w:rsid w:val="005D1A01"/>
    <w:rsid w:val="005D3323"/>
    <w:rsid w:val="005D4A3A"/>
    <w:rsid w:val="005D62D1"/>
    <w:rsid w:val="005D65F9"/>
    <w:rsid w:val="005D68A0"/>
    <w:rsid w:val="005D6B13"/>
    <w:rsid w:val="005D7435"/>
    <w:rsid w:val="005D7AA2"/>
    <w:rsid w:val="005E0C56"/>
    <w:rsid w:val="005E1ADC"/>
    <w:rsid w:val="005E1C62"/>
    <w:rsid w:val="005E1CAD"/>
    <w:rsid w:val="005E2E8D"/>
    <w:rsid w:val="005E3110"/>
    <w:rsid w:val="005E31E9"/>
    <w:rsid w:val="005E3902"/>
    <w:rsid w:val="005E3E84"/>
    <w:rsid w:val="005E41D5"/>
    <w:rsid w:val="005E4267"/>
    <w:rsid w:val="005E4A13"/>
    <w:rsid w:val="005E4E2F"/>
    <w:rsid w:val="005E50B6"/>
    <w:rsid w:val="005E5D6F"/>
    <w:rsid w:val="005E5E04"/>
    <w:rsid w:val="005E6635"/>
    <w:rsid w:val="005E6D16"/>
    <w:rsid w:val="005E6F8F"/>
    <w:rsid w:val="005E72B4"/>
    <w:rsid w:val="005F0A7D"/>
    <w:rsid w:val="005F0D62"/>
    <w:rsid w:val="005F16FA"/>
    <w:rsid w:val="005F1A27"/>
    <w:rsid w:val="005F1E3C"/>
    <w:rsid w:val="005F3BC5"/>
    <w:rsid w:val="005F401F"/>
    <w:rsid w:val="005F47A2"/>
    <w:rsid w:val="005F716A"/>
    <w:rsid w:val="006011F4"/>
    <w:rsid w:val="006013D5"/>
    <w:rsid w:val="0060267D"/>
    <w:rsid w:val="00602A35"/>
    <w:rsid w:val="00602ECB"/>
    <w:rsid w:val="00603364"/>
    <w:rsid w:val="0060376C"/>
    <w:rsid w:val="0060412F"/>
    <w:rsid w:val="00604C30"/>
    <w:rsid w:val="00604F3B"/>
    <w:rsid w:val="006070B5"/>
    <w:rsid w:val="00607DD6"/>
    <w:rsid w:val="00607E50"/>
    <w:rsid w:val="006116F5"/>
    <w:rsid w:val="00611A84"/>
    <w:rsid w:val="00611E1C"/>
    <w:rsid w:val="00612DAD"/>
    <w:rsid w:val="00613EB6"/>
    <w:rsid w:val="00614010"/>
    <w:rsid w:val="00614592"/>
    <w:rsid w:val="006145CB"/>
    <w:rsid w:val="0061473D"/>
    <w:rsid w:val="00614F33"/>
    <w:rsid w:val="0061609C"/>
    <w:rsid w:val="00616412"/>
    <w:rsid w:val="006164F1"/>
    <w:rsid w:val="00617404"/>
    <w:rsid w:val="00617476"/>
    <w:rsid w:val="00617F6D"/>
    <w:rsid w:val="00621293"/>
    <w:rsid w:val="0062276C"/>
    <w:rsid w:val="0062276F"/>
    <w:rsid w:val="00622DCD"/>
    <w:rsid w:val="00623E77"/>
    <w:rsid w:val="0062411C"/>
    <w:rsid w:val="0062489D"/>
    <w:rsid w:val="00625F60"/>
    <w:rsid w:val="00627079"/>
    <w:rsid w:val="00627939"/>
    <w:rsid w:val="00627EB3"/>
    <w:rsid w:val="00631A02"/>
    <w:rsid w:val="00631A93"/>
    <w:rsid w:val="006320AA"/>
    <w:rsid w:val="006333D3"/>
    <w:rsid w:val="00633AFC"/>
    <w:rsid w:val="00633FD6"/>
    <w:rsid w:val="006353B3"/>
    <w:rsid w:val="0063540B"/>
    <w:rsid w:val="00635FC8"/>
    <w:rsid w:val="00636B5D"/>
    <w:rsid w:val="00637671"/>
    <w:rsid w:val="00641A3F"/>
    <w:rsid w:val="00641A88"/>
    <w:rsid w:val="00642F81"/>
    <w:rsid w:val="00645A94"/>
    <w:rsid w:val="006464ED"/>
    <w:rsid w:val="00647D56"/>
    <w:rsid w:val="00650D95"/>
    <w:rsid w:val="00651EFF"/>
    <w:rsid w:val="0065296E"/>
    <w:rsid w:val="0065334C"/>
    <w:rsid w:val="00653A1A"/>
    <w:rsid w:val="00654706"/>
    <w:rsid w:val="00654BCF"/>
    <w:rsid w:val="00654E70"/>
    <w:rsid w:val="00655343"/>
    <w:rsid w:val="00655B0F"/>
    <w:rsid w:val="00655B3C"/>
    <w:rsid w:val="00655FB2"/>
    <w:rsid w:val="00656647"/>
    <w:rsid w:val="0065718E"/>
    <w:rsid w:val="00657905"/>
    <w:rsid w:val="00657991"/>
    <w:rsid w:val="00660649"/>
    <w:rsid w:val="006610EB"/>
    <w:rsid w:val="0066119E"/>
    <w:rsid w:val="00661C12"/>
    <w:rsid w:val="006621A9"/>
    <w:rsid w:val="006621B4"/>
    <w:rsid w:val="00663493"/>
    <w:rsid w:val="00663826"/>
    <w:rsid w:val="00663BE0"/>
    <w:rsid w:val="00663E51"/>
    <w:rsid w:val="00663F38"/>
    <w:rsid w:val="00664525"/>
    <w:rsid w:val="00664599"/>
    <w:rsid w:val="00664AFF"/>
    <w:rsid w:val="0066707A"/>
    <w:rsid w:val="006671AE"/>
    <w:rsid w:val="00667438"/>
    <w:rsid w:val="0067072C"/>
    <w:rsid w:val="00670B61"/>
    <w:rsid w:val="00671162"/>
    <w:rsid w:val="00671AB0"/>
    <w:rsid w:val="00671EB7"/>
    <w:rsid w:val="006735F8"/>
    <w:rsid w:val="00673DAB"/>
    <w:rsid w:val="00674080"/>
    <w:rsid w:val="00675513"/>
    <w:rsid w:val="006764EE"/>
    <w:rsid w:val="00676DB8"/>
    <w:rsid w:val="00676E41"/>
    <w:rsid w:val="00676EEF"/>
    <w:rsid w:val="0067790D"/>
    <w:rsid w:val="006806C4"/>
    <w:rsid w:val="00680C80"/>
    <w:rsid w:val="006810FA"/>
    <w:rsid w:val="006818B7"/>
    <w:rsid w:val="0068278E"/>
    <w:rsid w:val="00682820"/>
    <w:rsid w:val="00683344"/>
    <w:rsid w:val="006834E3"/>
    <w:rsid w:val="00683C07"/>
    <w:rsid w:val="00684286"/>
    <w:rsid w:val="006855E4"/>
    <w:rsid w:val="00685871"/>
    <w:rsid w:val="00687A48"/>
    <w:rsid w:val="00687C10"/>
    <w:rsid w:val="0069166A"/>
    <w:rsid w:val="00691C26"/>
    <w:rsid w:val="00691D3D"/>
    <w:rsid w:val="0069303E"/>
    <w:rsid w:val="00693596"/>
    <w:rsid w:val="00694BC8"/>
    <w:rsid w:val="00695997"/>
    <w:rsid w:val="00696125"/>
    <w:rsid w:val="0069668B"/>
    <w:rsid w:val="00696725"/>
    <w:rsid w:val="0069791A"/>
    <w:rsid w:val="006A07A0"/>
    <w:rsid w:val="006A1270"/>
    <w:rsid w:val="006A157D"/>
    <w:rsid w:val="006A287E"/>
    <w:rsid w:val="006A375D"/>
    <w:rsid w:val="006A3D2F"/>
    <w:rsid w:val="006A40CE"/>
    <w:rsid w:val="006A46CB"/>
    <w:rsid w:val="006A475E"/>
    <w:rsid w:val="006A48E4"/>
    <w:rsid w:val="006A4A4E"/>
    <w:rsid w:val="006A4BAA"/>
    <w:rsid w:val="006A58A1"/>
    <w:rsid w:val="006B070A"/>
    <w:rsid w:val="006B0831"/>
    <w:rsid w:val="006B0A60"/>
    <w:rsid w:val="006B0A72"/>
    <w:rsid w:val="006B2DB8"/>
    <w:rsid w:val="006B2ED6"/>
    <w:rsid w:val="006B3081"/>
    <w:rsid w:val="006B33E1"/>
    <w:rsid w:val="006B48F0"/>
    <w:rsid w:val="006B4C74"/>
    <w:rsid w:val="006B6587"/>
    <w:rsid w:val="006B65C9"/>
    <w:rsid w:val="006B6755"/>
    <w:rsid w:val="006B700F"/>
    <w:rsid w:val="006B701D"/>
    <w:rsid w:val="006C06B5"/>
    <w:rsid w:val="006C075C"/>
    <w:rsid w:val="006C1B35"/>
    <w:rsid w:val="006C1B8D"/>
    <w:rsid w:val="006C1E0F"/>
    <w:rsid w:val="006C273E"/>
    <w:rsid w:val="006C38F0"/>
    <w:rsid w:val="006C39D0"/>
    <w:rsid w:val="006C3ECE"/>
    <w:rsid w:val="006C4355"/>
    <w:rsid w:val="006C4521"/>
    <w:rsid w:val="006C4BDF"/>
    <w:rsid w:val="006C4D35"/>
    <w:rsid w:val="006C54C2"/>
    <w:rsid w:val="006C54D0"/>
    <w:rsid w:val="006C6ABE"/>
    <w:rsid w:val="006C7106"/>
    <w:rsid w:val="006C7481"/>
    <w:rsid w:val="006D0998"/>
    <w:rsid w:val="006D164E"/>
    <w:rsid w:val="006D338F"/>
    <w:rsid w:val="006D33E8"/>
    <w:rsid w:val="006D4943"/>
    <w:rsid w:val="006D4D31"/>
    <w:rsid w:val="006D5534"/>
    <w:rsid w:val="006D5952"/>
    <w:rsid w:val="006D61B6"/>
    <w:rsid w:val="006D6321"/>
    <w:rsid w:val="006D6633"/>
    <w:rsid w:val="006D68CB"/>
    <w:rsid w:val="006D6A79"/>
    <w:rsid w:val="006D6E48"/>
    <w:rsid w:val="006D70DA"/>
    <w:rsid w:val="006D7458"/>
    <w:rsid w:val="006D765B"/>
    <w:rsid w:val="006D7803"/>
    <w:rsid w:val="006E0232"/>
    <w:rsid w:val="006E0768"/>
    <w:rsid w:val="006E08C2"/>
    <w:rsid w:val="006E0DFE"/>
    <w:rsid w:val="006E1408"/>
    <w:rsid w:val="006E31AA"/>
    <w:rsid w:val="006E525F"/>
    <w:rsid w:val="006E555E"/>
    <w:rsid w:val="006E71A4"/>
    <w:rsid w:val="006E78BB"/>
    <w:rsid w:val="006F03A0"/>
    <w:rsid w:val="006F0480"/>
    <w:rsid w:val="006F0B40"/>
    <w:rsid w:val="006F2C59"/>
    <w:rsid w:val="006F316B"/>
    <w:rsid w:val="006F3727"/>
    <w:rsid w:val="006F3C0C"/>
    <w:rsid w:val="006F4912"/>
    <w:rsid w:val="006F551F"/>
    <w:rsid w:val="006F560A"/>
    <w:rsid w:val="006F5965"/>
    <w:rsid w:val="006F6766"/>
    <w:rsid w:val="006F78AD"/>
    <w:rsid w:val="007000DC"/>
    <w:rsid w:val="0070148B"/>
    <w:rsid w:val="00701B22"/>
    <w:rsid w:val="007020BA"/>
    <w:rsid w:val="00703342"/>
    <w:rsid w:val="007033CE"/>
    <w:rsid w:val="007034E2"/>
    <w:rsid w:val="007038C2"/>
    <w:rsid w:val="0070463A"/>
    <w:rsid w:val="007047DB"/>
    <w:rsid w:val="00705F01"/>
    <w:rsid w:val="007061B8"/>
    <w:rsid w:val="00706433"/>
    <w:rsid w:val="00706A1C"/>
    <w:rsid w:val="00706DBA"/>
    <w:rsid w:val="007071E2"/>
    <w:rsid w:val="007078E9"/>
    <w:rsid w:val="00707F91"/>
    <w:rsid w:val="00714354"/>
    <w:rsid w:val="0071481C"/>
    <w:rsid w:val="00714A9D"/>
    <w:rsid w:val="00715C96"/>
    <w:rsid w:val="00715CBB"/>
    <w:rsid w:val="00716666"/>
    <w:rsid w:val="00717543"/>
    <w:rsid w:val="007175F6"/>
    <w:rsid w:val="007201CA"/>
    <w:rsid w:val="0072036F"/>
    <w:rsid w:val="00720991"/>
    <w:rsid w:val="00720BBE"/>
    <w:rsid w:val="00720F40"/>
    <w:rsid w:val="00721AE8"/>
    <w:rsid w:val="00721D60"/>
    <w:rsid w:val="00722078"/>
    <w:rsid w:val="00722729"/>
    <w:rsid w:val="00724036"/>
    <w:rsid w:val="00724757"/>
    <w:rsid w:val="00726D1E"/>
    <w:rsid w:val="00726ED9"/>
    <w:rsid w:val="00727972"/>
    <w:rsid w:val="00727A37"/>
    <w:rsid w:val="00730349"/>
    <w:rsid w:val="00730FF4"/>
    <w:rsid w:val="0073107F"/>
    <w:rsid w:val="00731249"/>
    <w:rsid w:val="00731321"/>
    <w:rsid w:val="0073136C"/>
    <w:rsid w:val="007316E7"/>
    <w:rsid w:val="00731A01"/>
    <w:rsid w:val="00732582"/>
    <w:rsid w:val="00732675"/>
    <w:rsid w:val="0073291F"/>
    <w:rsid w:val="00732DDA"/>
    <w:rsid w:val="007331C8"/>
    <w:rsid w:val="007334F4"/>
    <w:rsid w:val="00733A45"/>
    <w:rsid w:val="00733CD5"/>
    <w:rsid w:val="00736786"/>
    <w:rsid w:val="0074013C"/>
    <w:rsid w:val="00740449"/>
    <w:rsid w:val="00741897"/>
    <w:rsid w:val="00742BC7"/>
    <w:rsid w:val="007441F1"/>
    <w:rsid w:val="007476F4"/>
    <w:rsid w:val="00751DE8"/>
    <w:rsid w:val="00752113"/>
    <w:rsid w:val="00753665"/>
    <w:rsid w:val="00753A8D"/>
    <w:rsid w:val="00753B78"/>
    <w:rsid w:val="00753E03"/>
    <w:rsid w:val="007545D1"/>
    <w:rsid w:val="00754BC6"/>
    <w:rsid w:val="007550B8"/>
    <w:rsid w:val="0075588A"/>
    <w:rsid w:val="00756D1D"/>
    <w:rsid w:val="007574ED"/>
    <w:rsid w:val="00757CD2"/>
    <w:rsid w:val="00761CA6"/>
    <w:rsid w:val="00762616"/>
    <w:rsid w:val="0076276A"/>
    <w:rsid w:val="0076373C"/>
    <w:rsid w:val="00764629"/>
    <w:rsid w:val="00765F06"/>
    <w:rsid w:val="00767A70"/>
    <w:rsid w:val="00767E38"/>
    <w:rsid w:val="0077082C"/>
    <w:rsid w:val="00770BCA"/>
    <w:rsid w:val="00770E21"/>
    <w:rsid w:val="007710EF"/>
    <w:rsid w:val="0077127D"/>
    <w:rsid w:val="007712D4"/>
    <w:rsid w:val="0077142F"/>
    <w:rsid w:val="00771D47"/>
    <w:rsid w:val="00771F67"/>
    <w:rsid w:val="00772551"/>
    <w:rsid w:val="007727EF"/>
    <w:rsid w:val="00772814"/>
    <w:rsid w:val="007740F1"/>
    <w:rsid w:val="00774B3F"/>
    <w:rsid w:val="00775205"/>
    <w:rsid w:val="00777834"/>
    <w:rsid w:val="00780175"/>
    <w:rsid w:val="00780952"/>
    <w:rsid w:val="00780E1B"/>
    <w:rsid w:val="00782D8C"/>
    <w:rsid w:val="007830A3"/>
    <w:rsid w:val="007846D4"/>
    <w:rsid w:val="00784A76"/>
    <w:rsid w:val="00786420"/>
    <w:rsid w:val="00786AC8"/>
    <w:rsid w:val="00786E9D"/>
    <w:rsid w:val="00786EF1"/>
    <w:rsid w:val="00787142"/>
    <w:rsid w:val="007873D0"/>
    <w:rsid w:val="0078797D"/>
    <w:rsid w:val="00787C72"/>
    <w:rsid w:val="007906B6"/>
    <w:rsid w:val="00790A54"/>
    <w:rsid w:val="00790BF7"/>
    <w:rsid w:val="00790E29"/>
    <w:rsid w:val="00790F19"/>
    <w:rsid w:val="00790F3F"/>
    <w:rsid w:val="00792CAE"/>
    <w:rsid w:val="00792CD2"/>
    <w:rsid w:val="007938E5"/>
    <w:rsid w:val="0079471E"/>
    <w:rsid w:val="007956EA"/>
    <w:rsid w:val="00796AA1"/>
    <w:rsid w:val="00796B27"/>
    <w:rsid w:val="00796F74"/>
    <w:rsid w:val="007974D7"/>
    <w:rsid w:val="00797BA5"/>
    <w:rsid w:val="00797C64"/>
    <w:rsid w:val="007A016F"/>
    <w:rsid w:val="007A0211"/>
    <w:rsid w:val="007A0B72"/>
    <w:rsid w:val="007A10B2"/>
    <w:rsid w:val="007A1124"/>
    <w:rsid w:val="007A1226"/>
    <w:rsid w:val="007A2BBC"/>
    <w:rsid w:val="007A3CBD"/>
    <w:rsid w:val="007A3DB4"/>
    <w:rsid w:val="007A42FE"/>
    <w:rsid w:val="007A4809"/>
    <w:rsid w:val="007A49E4"/>
    <w:rsid w:val="007A5016"/>
    <w:rsid w:val="007A61FD"/>
    <w:rsid w:val="007A6255"/>
    <w:rsid w:val="007A66B8"/>
    <w:rsid w:val="007A677C"/>
    <w:rsid w:val="007A6CFF"/>
    <w:rsid w:val="007B02CF"/>
    <w:rsid w:val="007B07A0"/>
    <w:rsid w:val="007B0830"/>
    <w:rsid w:val="007B1B08"/>
    <w:rsid w:val="007B1C6C"/>
    <w:rsid w:val="007B1FCB"/>
    <w:rsid w:val="007B41E8"/>
    <w:rsid w:val="007B44E3"/>
    <w:rsid w:val="007B457A"/>
    <w:rsid w:val="007B561D"/>
    <w:rsid w:val="007B58E4"/>
    <w:rsid w:val="007B58ED"/>
    <w:rsid w:val="007B5E0C"/>
    <w:rsid w:val="007B66FF"/>
    <w:rsid w:val="007B6C27"/>
    <w:rsid w:val="007B6ED5"/>
    <w:rsid w:val="007B7650"/>
    <w:rsid w:val="007C04CB"/>
    <w:rsid w:val="007C0955"/>
    <w:rsid w:val="007C187D"/>
    <w:rsid w:val="007C49A4"/>
    <w:rsid w:val="007C58B8"/>
    <w:rsid w:val="007C5E15"/>
    <w:rsid w:val="007C6450"/>
    <w:rsid w:val="007C6EEA"/>
    <w:rsid w:val="007C7936"/>
    <w:rsid w:val="007C7F71"/>
    <w:rsid w:val="007D04E4"/>
    <w:rsid w:val="007D23D2"/>
    <w:rsid w:val="007D58DE"/>
    <w:rsid w:val="007D60BA"/>
    <w:rsid w:val="007D6152"/>
    <w:rsid w:val="007D694A"/>
    <w:rsid w:val="007D6F31"/>
    <w:rsid w:val="007D7007"/>
    <w:rsid w:val="007D7406"/>
    <w:rsid w:val="007D75DF"/>
    <w:rsid w:val="007E0E6A"/>
    <w:rsid w:val="007E0EF2"/>
    <w:rsid w:val="007E11B7"/>
    <w:rsid w:val="007E1596"/>
    <w:rsid w:val="007E1F4F"/>
    <w:rsid w:val="007E2031"/>
    <w:rsid w:val="007E2331"/>
    <w:rsid w:val="007E26EB"/>
    <w:rsid w:val="007E2961"/>
    <w:rsid w:val="007E2FCC"/>
    <w:rsid w:val="007E3A2F"/>
    <w:rsid w:val="007E3E74"/>
    <w:rsid w:val="007E4C7B"/>
    <w:rsid w:val="007E5450"/>
    <w:rsid w:val="007E59FF"/>
    <w:rsid w:val="007E6026"/>
    <w:rsid w:val="007E62B4"/>
    <w:rsid w:val="007E7BA5"/>
    <w:rsid w:val="007E7E57"/>
    <w:rsid w:val="007F013B"/>
    <w:rsid w:val="007F0326"/>
    <w:rsid w:val="007F07FF"/>
    <w:rsid w:val="007F0C48"/>
    <w:rsid w:val="007F15F3"/>
    <w:rsid w:val="007F166D"/>
    <w:rsid w:val="007F18B7"/>
    <w:rsid w:val="007F1FBB"/>
    <w:rsid w:val="007F3A94"/>
    <w:rsid w:val="007F3BC4"/>
    <w:rsid w:val="007F562D"/>
    <w:rsid w:val="007F75A6"/>
    <w:rsid w:val="0080091A"/>
    <w:rsid w:val="0080267D"/>
    <w:rsid w:val="00802841"/>
    <w:rsid w:val="00803140"/>
    <w:rsid w:val="00803A61"/>
    <w:rsid w:val="00804387"/>
    <w:rsid w:val="00805399"/>
    <w:rsid w:val="00805854"/>
    <w:rsid w:val="00805D55"/>
    <w:rsid w:val="00806426"/>
    <w:rsid w:val="00806774"/>
    <w:rsid w:val="00806A8C"/>
    <w:rsid w:val="00807969"/>
    <w:rsid w:val="00807A0C"/>
    <w:rsid w:val="00807F22"/>
    <w:rsid w:val="0081058A"/>
    <w:rsid w:val="00811317"/>
    <w:rsid w:val="00812B17"/>
    <w:rsid w:val="008137DB"/>
    <w:rsid w:val="00814179"/>
    <w:rsid w:val="008141B3"/>
    <w:rsid w:val="00816A1D"/>
    <w:rsid w:val="00817070"/>
    <w:rsid w:val="008202D1"/>
    <w:rsid w:val="008214B0"/>
    <w:rsid w:val="00821F89"/>
    <w:rsid w:val="0082243A"/>
    <w:rsid w:val="008224BC"/>
    <w:rsid w:val="008229F5"/>
    <w:rsid w:val="0082322F"/>
    <w:rsid w:val="008233F6"/>
    <w:rsid w:val="00823812"/>
    <w:rsid w:val="00823B5D"/>
    <w:rsid w:val="00823EC6"/>
    <w:rsid w:val="00824330"/>
    <w:rsid w:val="0082461D"/>
    <w:rsid w:val="00824E70"/>
    <w:rsid w:val="00825BB1"/>
    <w:rsid w:val="00825FF4"/>
    <w:rsid w:val="00826AD5"/>
    <w:rsid w:val="00827140"/>
    <w:rsid w:val="00827452"/>
    <w:rsid w:val="008279BA"/>
    <w:rsid w:val="00827CE3"/>
    <w:rsid w:val="0083076C"/>
    <w:rsid w:val="00830F55"/>
    <w:rsid w:val="008318C7"/>
    <w:rsid w:val="008330CB"/>
    <w:rsid w:val="008337B0"/>
    <w:rsid w:val="00833D19"/>
    <w:rsid w:val="00833E35"/>
    <w:rsid w:val="00834545"/>
    <w:rsid w:val="008345AF"/>
    <w:rsid w:val="00834BB9"/>
    <w:rsid w:val="00835077"/>
    <w:rsid w:val="0083611C"/>
    <w:rsid w:val="00836567"/>
    <w:rsid w:val="00837017"/>
    <w:rsid w:val="00837B1A"/>
    <w:rsid w:val="00837EC2"/>
    <w:rsid w:val="00840DF4"/>
    <w:rsid w:val="00840F56"/>
    <w:rsid w:val="00842248"/>
    <w:rsid w:val="00842A39"/>
    <w:rsid w:val="008441D5"/>
    <w:rsid w:val="00844311"/>
    <w:rsid w:val="008461A4"/>
    <w:rsid w:val="008463A2"/>
    <w:rsid w:val="008478C5"/>
    <w:rsid w:val="00847DBC"/>
    <w:rsid w:val="00850840"/>
    <w:rsid w:val="00851C72"/>
    <w:rsid w:val="00851DDA"/>
    <w:rsid w:val="00852771"/>
    <w:rsid w:val="0085292D"/>
    <w:rsid w:val="008529F5"/>
    <w:rsid w:val="008534A2"/>
    <w:rsid w:val="00853C2E"/>
    <w:rsid w:val="0085411A"/>
    <w:rsid w:val="008544D2"/>
    <w:rsid w:val="00854C92"/>
    <w:rsid w:val="00855624"/>
    <w:rsid w:val="00855B31"/>
    <w:rsid w:val="008562B2"/>
    <w:rsid w:val="008573A6"/>
    <w:rsid w:val="00857F3A"/>
    <w:rsid w:val="00860111"/>
    <w:rsid w:val="008620C3"/>
    <w:rsid w:val="00863A77"/>
    <w:rsid w:val="00865BE0"/>
    <w:rsid w:val="00866197"/>
    <w:rsid w:val="00866875"/>
    <w:rsid w:val="00866926"/>
    <w:rsid w:val="00866AF5"/>
    <w:rsid w:val="0087079B"/>
    <w:rsid w:val="00870E20"/>
    <w:rsid w:val="00870FA3"/>
    <w:rsid w:val="008712B7"/>
    <w:rsid w:val="00871416"/>
    <w:rsid w:val="00871962"/>
    <w:rsid w:val="00875740"/>
    <w:rsid w:val="00875C73"/>
    <w:rsid w:val="00876A4B"/>
    <w:rsid w:val="00876CAC"/>
    <w:rsid w:val="0087782D"/>
    <w:rsid w:val="008778E6"/>
    <w:rsid w:val="008809B9"/>
    <w:rsid w:val="008822E8"/>
    <w:rsid w:val="0088311E"/>
    <w:rsid w:val="00883B3A"/>
    <w:rsid w:val="00885AAB"/>
    <w:rsid w:val="00885E3E"/>
    <w:rsid w:val="0088647F"/>
    <w:rsid w:val="008915BA"/>
    <w:rsid w:val="008915F1"/>
    <w:rsid w:val="00892061"/>
    <w:rsid w:val="008921B4"/>
    <w:rsid w:val="00892442"/>
    <w:rsid w:val="00892668"/>
    <w:rsid w:val="00893C2A"/>
    <w:rsid w:val="00894CE2"/>
    <w:rsid w:val="0089526B"/>
    <w:rsid w:val="0089528F"/>
    <w:rsid w:val="00895705"/>
    <w:rsid w:val="00895D99"/>
    <w:rsid w:val="00895FC3"/>
    <w:rsid w:val="008960D1"/>
    <w:rsid w:val="00896321"/>
    <w:rsid w:val="008970C8"/>
    <w:rsid w:val="00897776"/>
    <w:rsid w:val="00897D9A"/>
    <w:rsid w:val="008A04BE"/>
    <w:rsid w:val="008A1330"/>
    <w:rsid w:val="008A14EA"/>
    <w:rsid w:val="008A15D5"/>
    <w:rsid w:val="008A1A01"/>
    <w:rsid w:val="008A1F73"/>
    <w:rsid w:val="008A1F8A"/>
    <w:rsid w:val="008A2044"/>
    <w:rsid w:val="008A20A8"/>
    <w:rsid w:val="008A2464"/>
    <w:rsid w:val="008A3172"/>
    <w:rsid w:val="008A418A"/>
    <w:rsid w:val="008A49C0"/>
    <w:rsid w:val="008A6F48"/>
    <w:rsid w:val="008B0933"/>
    <w:rsid w:val="008B0D75"/>
    <w:rsid w:val="008B1433"/>
    <w:rsid w:val="008B2BE4"/>
    <w:rsid w:val="008B336D"/>
    <w:rsid w:val="008B5B34"/>
    <w:rsid w:val="008B613B"/>
    <w:rsid w:val="008B7104"/>
    <w:rsid w:val="008B73ED"/>
    <w:rsid w:val="008C0D00"/>
    <w:rsid w:val="008C183A"/>
    <w:rsid w:val="008C2E8E"/>
    <w:rsid w:val="008C4948"/>
    <w:rsid w:val="008C4D39"/>
    <w:rsid w:val="008C556A"/>
    <w:rsid w:val="008C5D0D"/>
    <w:rsid w:val="008C7FA5"/>
    <w:rsid w:val="008D03DD"/>
    <w:rsid w:val="008D1B5E"/>
    <w:rsid w:val="008D2590"/>
    <w:rsid w:val="008D34EB"/>
    <w:rsid w:val="008D3AC0"/>
    <w:rsid w:val="008D4EAA"/>
    <w:rsid w:val="008D549D"/>
    <w:rsid w:val="008D6AE6"/>
    <w:rsid w:val="008E029E"/>
    <w:rsid w:val="008E0F11"/>
    <w:rsid w:val="008E1434"/>
    <w:rsid w:val="008E1921"/>
    <w:rsid w:val="008E20A3"/>
    <w:rsid w:val="008E2594"/>
    <w:rsid w:val="008E2C1E"/>
    <w:rsid w:val="008E32E1"/>
    <w:rsid w:val="008E3F45"/>
    <w:rsid w:val="008E459E"/>
    <w:rsid w:val="008E50B3"/>
    <w:rsid w:val="008E58EA"/>
    <w:rsid w:val="008E5D7C"/>
    <w:rsid w:val="008E5DBD"/>
    <w:rsid w:val="008E70E1"/>
    <w:rsid w:val="008F0E8F"/>
    <w:rsid w:val="008F1660"/>
    <w:rsid w:val="008F1D3E"/>
    <w:rsid w:val="008F292D"/>
    <w:rsid w:val="008F29D9"/>
    <w:rsid w:val="008F4585"/>
    <w:rsid w:val="008F6D82"/>
    <w:rsid w:val="008F6FE6"/>
    <w:rsid w:val="008F7D4F"/>
    <w:rsid w:val="00900A36"/>
    <w:rsid w:val="00900C58"/>
    <w:rsid w:val="00900CE6"/>
    <w:rsid w:val="00901C4F"/>
    <w:rsid w:val="00902417"/>
    <w:rsid w:val="00902462"/>
    <w:rsid w:val="00902510"/>
    <w:rsid w:val="00902B6D"/>
    <w:rsid w:val="00902BA6"/>
    <w:rsid w:val="0090300C"/>
    <w:rsid w:val="00904A11"/>
    <w:rsid w:val="00904DF6"/>
    <w:rsid w:val="009054CD"/>
    <w:rsid w:val="00905589"/>
    <w:rsid w:val="00907484"/>
    <w:rsid w:val="00910897"/>
    <w:rsid w:val="00910B48"/>
    <w:rsid w:val="00911572"/>
    <w:rsid w:val="00911643"/>
    <w:rsid w:val="00911CBC"/>
    <w:rsid w:val="0091289E"/>
    <w:rsid w:val="0091331F"/>
    <w:rsid w:val="009133AB"/>
    <w:rsid w:val="00913511"/>
    <w:rsid w:val="009135FC"/>
    <w:rsid w:val="00914703"/>
    <w:rsid w:val="00915931"/>
    <w:rsid w:val="00915FCE"/>
    <w:rsid w:val="009163A0"/>
    <w:rsid w:val="00916BDF"/>
    <w:rsid w:val="00916E6A"/>
    <w:rsid w:val="009219ED"/>
    <w:rsid w:val="0092209C"/>
    <w:rsid w:val="009224ED"/>
    <w:rsid w:val="00922783"/>
    <w:rsid w:val="00923214"/>
    <w:rsid w:val="009233B2"/>
    <w:rsid w:val="00923417"/>
    <w:rsid w:val="00925633"/>
    <w:rsid w:val="00926034"/>
    <w:rsid w:val="0092697A"/>
    <w:rsid w:val="00930D5B"/>
    <w:rsid w:val="0093136C"/>
    <w:rsid w:val="0093141B"/>
    <w:rsid w:val="0093219A"/>
    <w:rsid w:val="00932F08"/>
    <w:rsid w:val="00933662"/>
    <w:rsid w:val="00933C8D"/>
    <w:rsid w:val="009341C3"/>
    <w:rsid w:val="00934723"/>
    <w:rsid w:val="00935280"/>
    <w:rsid w:val="00936F8F"/>
    <w:rsid w:val="009373B8"/>
    <w:rsid w:val="00937758"/>
    <w:rsid w:val="00937EB4"/>
    <w:rsid w:val="00940CB4"/>
    <w:rsid w:val="00941C39"/>
    <w:rsid w:val="0094305D"/>
    <w:rsid w:val="009433B4"/>
    <w:rsid w:val="00943CB9"/>
    <w:rsid w:val="00943F40"/>
    <w:rsid w:val="009441FA"/>
    <w:rsid w:val="009446CB"/>
    <w:rsid w:val="00944E95"/>
    <w:rsid w:val="009455C1"/>
    <w:rsid w:val="009455D0"/>
    <w:rsid w:val="00946C81"/>
    <w:rsid w:val="00947E19"/>
    <w:rsid w:val="00950255"/>
    <w:rsid w:val="0095038A"/>
    <w:rsid w:val="00950652"/>
    <w:rsid w:val="00950710"/>
    <w:rsid w:val="00950CB3"/>
    <w:rsid w:val="00950FC1"/>
    <w:rsid w:val="00951D5C"/>
    <w:rsid w:val="00951F6D"/>
    <w:rsid w:val="009537EA"/>
    <w:rsid w:val="00954537"/>
    <w:rsid w:val="009562DA"/>
    <w:rsid w:val="009567B2"/>
    <w:rsid w:val="00957810"/>
    <w:rsid w:val="0096013A"/>
    <w:rsid w:val="00960D48"/>
    <w:rsid w:val="00961649"/>
    <w:rsid w:val="00961AA6"/>
    <w:rsid w:val="00961BA5"/>
    <w:rsid w:val="00963F57"/>
    <w:rsid w:val="0096435B"/>
    <w:rsid w:val="00964BCE"/>
    <w:rsid w:val="009657C8"/>
    <w:rsid w:val="00965971"/>
    <w:rsid w:val="00965BF1"/>
    <w:rsid w:val="0096728E"/>
    <w:rsid w:val="00970932"/>
    <w:rsid w:val="009710E4"/>
    <w:rsid w:val="00971104"/>
    <w:rsid w:val="009711E0"/>
    <w:rsid w:val="00971380"/>
    <w:rsid w:val="009717F4"/>
    <w:rsid w:val="00971D10"/>
    <w:rsid w:val="0097210C"/>
    <w:rsid w:val="00972C6A"/>
    <w:rsid w:val="009734A1"/>
    <w:rsid w:val="009735B8"/>
    <w:rsid w:val="009741DB"/>
    <w:rsid w:val="00975183"/>
    <w:rsid w:val="00975C39"/>
    <w:rsid w:val="009761AB"/>
    <w:rsid w:val="00976EA2"/>
    <w:rsid w:val="009771BF"/>
    <w:rsid w:val="0098024E"/>
    <w:rsid w:val="00981525"/>
    <w:rsid w:val="009819C2"/>
    <w:rsid w:val="00981FAE"/>
    <w:rsid w:val="00983ACD"/>
    <w:rsid w:val="009840C7"/>
    <w:rsid w:val="009840D2"/>
    <w:rsid w:val="009854ED"/>
    <w:rsid w:val="0098575B"/>
    <w:rsid w:val="009869B3"/>
    <w:rsid w:val="0098792F"/>
    <w:rsid w:val="00990323"/>
    <w:rsid w:val="00990AF5"/>
    <w:rsid w:val="00990BA2"/>
    <w:rsid w:val="00991163"/>
    <w:rsid w:val="00991183"/>
    <w:rsid w:val="009913B6"/>
    <w:rsid w:val="00991EA9"/>
    <w:rsid w:val="00991FCC"/>
    <w:rsid w:val="00992E2B"/>
    <w:rsid w:val="0099322D"/>
    <w:rsid w:val="009936CD"/>
    <w:rsid w:val="0099430A"/>
    <w:rsid w:val="009944FA"/>
    <w:rsid w:val="00994ED6"/>
    <w:rsid w:val="00996C65"/>
    <w:rsid w:val="0099746E"/>
    <w:rsid w:val="00997DE4"/>
    <w:rsid w:val="009A106F"/>
    <w:rsid w:val="009A2E19"/>
    <w:rsid w:val="009A3138"/>
    <w:rsid w:val="009A3749"/>
    <w:rsid w:val="009A3C94"/>
    <w:rsid w:val="009A4201"/>
    <w:rsid w:val="009A43FA"/>
    <w:rsid w:val="009A4613"/>
    <w:rsid w:val="009A49E4"/>
    <w:rsid w:val="009A4BEB"/>
    <w:rsid w:val="009A547C"/>
    <w:rsid w:val="009A598B"/>
    <w:rsid w:val="009A702D"/>
    <w:rsid w:val="009A78A9"/>
    <w:rsid w:val="009A7ADE"/>
    <w:rsid w:val="009A7C3D"/>
    <w:rsid w:val="009B0525"/>
    <w:rsid w:val="009B17DA"/>
    <w:rsid w:val="009B3983"/>
    <w:rsid w:val="009B3DE0"/>
    <w:rsid w:val="009B48DD"/>
    <w:rsid w:val="009B513F"/>
    <w:rsid w:val="009B6DF8"/>
    <w:rsid w:val="009B7268"/>
    <w:rsid w:val="009B7CCF"/>
    <w:rsid w:val="009C0344"/>
    <w:rsid w:val="009C042A"/>
    <w:rsid w:val="009C0918"/>
    <w:rsid w:val="009C0B56"/>
    <w:rsid w:val="009C1575"/>
    <w:rsid w:val="009C3F42"/>
    <w:rsid w:val="009C4060"/>
    <w:rsid w:val="009C42DF"/>
    <w:rsid w:val="009C44EC"/>
    <w:rsid w:val="009C5657"/>
    <w:rsid w:val="009C6D64"/>
    <w:rsid w:val="009C6DB0"/>
    <w:rsid w:val="009D0138"/>
    <w:rsid w:val="009D0BB1"/>
    <w:rsid w:val="009D0DF9"/>
    <w:rsid w:val="009D1DF0"/>
    <w:rsid w:val="009D1F39"/>
    <w:rsid w:val="009D22B9"/>
    <w:rsid w:val="009D2EB5"/>
    <w:rsid w:val="009D3AD2"/>
    <w:rsid w:val="009D42C9"/>
    <w:rsid w:val="009D4689"/>
    <w:rsid w:val="009D7381"/>
    <w:rsid w:val="009E02CA"/>
    <w:rsid w:val="009E081B"/>
    <w:rsid w:val="009E0CE3"/>
    <w:rsid w:val="009E2576"/>
    <w:rsid w:val="009E3D01"/>
    <w:rsid w:val="009E486C"/>
    <w:rsid w:val="009E498D"/>
    <w:rsid w:val="009E4BCA"/>
    <w:rsid w:val="009E50CA"/>
    <w:rsid w:val="009E5858"/>
    <w:rsid w:val="009E6329"/>
    <w:rsid w:val="009E6B82"/>
    <w:rsid w:val="009E75DD"/>
    <w:rsid w:val="009F194C"/>
    <w:rsid w:val="009F1B8A"/>
    <w:rsid w:val="009F24FA"/>
    <w:rsid w:val="009F2E08"/>
    <w:rsid w:val="009F367B"/>
    <w:rsid w:val="009F4001"/>
    <w:rsid w:val="009F418C"/>
    <w:rsid w:val="009F615C"/>
    <w:rsid w:val="009F6B95"/>
    <w:rsid w:val="009F7A15"/>
    <w:rsid w:val="00A00646"/>
    <w:rsid w:val="00A01022"/>
    <w:rsid w:val="00A01749"/>
    <w:rsid w:val="00A02008"/>
    <w:rsid w:val="00A02B2C"/>
    <w:rsid w:val="00A042DC"/>
    <w:rsid w:val="00A0464B"/>
    <w:rsid w:val="00A04B43"/>
    <w:rsid w:val="00A057D3"/>
    <w:rsid w:val="00A06D50"/>
    <w:rsid w:val="00A06F63"/>
    <w:rsid w:val="00A07144"/>
    <w:rsid w:val="00A07E0B"/>
    <w:rsid w:val="00A11D2D"/>
    <w:rsid w:val="00A12025"/>
    <w:rsid w:val="00A121EB"/>
    <w:rsid w:val="00A130C8"/>
    <w:rsid w:val="00A13FF2"/>
    <w:rsid w:val="00A14249"/>
    <w:rsid w:val="00A14952"/>
    <w:rsid w:val="00A14BE5"/>
    <w:rsid w:val="00A16146"/>
    <w:rsid w:val="00A21029"/>
    <w:rsid w:val="00A21B63"/>
    <w:rsid w:val="00A225D2"/>
    <w:rsid w:val="00A23746"/>
    <w:rsid w:val="00A25CC5"/>
    <w:rsid w:val="00A2636A"/>
    <w:rsid w:val="00A27279"/>
    <w:rsid w:val="00A27D0F"/>
    <w:rsid w:val="00A30B36"/>
    <w:rsid w:val="00A30FCB"/>
    <w:rsid w:val="00A3191E"/>
    <w:rsid w:val="00A33053"/>
    <w:rsid w:val="00A3468D"/>
    <w:rsid w:val="00A34690"/>
    <w:rsid w:val="00A34862"/>
    <w:rsid w:val="00A35284"/>
    <w:rsid w:val="00A357C2"/>
    <w:rsid w:val="00A3682B"/>
    <w:rsid w:val="00A36962"/>
    <w:rsid w:val="00A36D7B"/>
    <w:rsid w:val="00A37EB5"/>
    <w:rsid w:val="00A40FCE"/>
    <w:rsid w:val="00A41814"/>
    <w:rsid w:val="00A41F8B"/>
    <w:rsid w:val="00A43509"/>
    <w:rsid w:val="00A43D10"/>
    <w:rsid w:val="00A44975"/>
    <w:rsid w:val="00A451FA"/>
    <w:rsid w:val="00A46CD0"/>
    <w:rsid w:val="00A470C9"/>
    <w:rsid w:val="00A50119"/>
    <w:rsid w:val="00A504BE"/>
    <w:rsid w:val="00A5156A"/>
    <w:rsid w:val="00A51B48"/>
    <w:rsid w:val="00A526FD"/>
    <w:rsid w:val="00A53A1F"/>
    <w:rsid w:val="00A542AF"/>
    <w:rsid w:val="00A548F3"/>
    <w:rsid w:val="00A54DAD"/>
    <w:rsid w:val="00A555E6"/>
    <w:rsid w:val="00A558FA"/>
    <w:rsid w:val="00A56AD3"/>
    <w:rsid w:val="00A56E94"/>
    <w:rsid w:val="00A604FB"/>
    <w:rsid w:val="00A61646"/>
    <w:rsid w:val="00A61FD6"/>
    <w:rsid w:val="00A6231A"/>
    <w:rsid w:val="00A6354E"/>
    <w:rsid w:val="00A650A0"/>
    <w:rsid w:val="00A65F80"/>
    <w:rsid w:val="00A65FA1"/>
    <w:rsid w:val="00A66DB1"/>
    <w:rsid w:val="00A706CD"/>
    <w:rsid w:val="00A70B46"/>
    <w:rsid w:val="00A71679"/>
    <w:rsid w:val="00A71728"/>
    <w:rsid w:val="00A72DE4"/>
    <w:rsid w:val="00A73B7F"/>
    <w:rsid w:val="00A7441A"/>
    <w:rsid w:val="00A75A88"/>
    <w:rsid w:val="00A76AB5"/>
    <w:rsid w:val="00A77B8F"/>
    <w:rsid w:val="00A77C45"/>
    <w:rsid w:val="00A800B2"/>
    <w:rsid w:val="00A80B06"/>
    <w:rsid w:val="00A817FD"/>
    <w:rsid w:val="00A81E2C"/>
    <w:rsid w:val="00A8304D"/>
    <w:rsid w:val="00A83718"/>
    <w:rsid w:val="00A841EA"/>
    <w:rsid w:val="00A85392"/>
    <w:rsid w:val="00A85D8B"/>
    <w:rsid w:val="00A86730"/>
    <w:rsid w:val="00A86E52"/>
    <w:rsid w:val="00A8703C"/>
    <w:rsid w:val="00A87064"/>
    <w:rsid w:val="00A87406"/>
    <w:rsid w:val="00A875EA"/>
    <w:rsid w:val="00A900AD"/>
    <w:rsid w:val="00A91346"/>
    <w:rsid w:val="00A92A92"/>
    <w:rsid w:val="00A935E2"/>
    <w:rsid w:val="00A938FE"/>
    <w:rsid w:val="00A94EFD"/>
    <w:rsid w:val="00A95CB0"/>
    <w:rsid w:val="00A96564"/>
    <w:rsid w:val="00A97063"/>
    <w:rsid w:val="00A973C0"/>
    <w:rsid w:val="00A97914"/>
    <w:rsid w:val="00A97BCD"/>
    <w:rsid w:val="00A97D85"/>
    <w:rsid w:val="00AA161F"/>
    <w:rsid w:val="00AA243D"/>
    <w:rsid w:val="00AA2577"/>
    <w:rsid w:val="00AA35EC"/>
    <w:rsid w:val="00AA3E2E"/>
    <w:rsid w:val="00AA47D1"/>
    <w:rsid w:val="00AA55D9"/>
    <w:rsid w:val="00AA61E6"/>
    <w:rsid w:val="00AA64EE"/>
    <w:rsid w:val="00AA6B7E"/>
    <w:rsid w:val="00AA7AC5"/>
    <w:rsid w:val="00AA7ED8"/>
    <w:rsid w:val="00AB0D9A"/>
    <w:rsid w:val="00AB0F1E"/>
    <w:rsid w:val="00AB117F"/>
    <w:rsid w:val="00AB1BF5"/>
    <w:rsid w:val="00AB3A7C"/>
    <w:rsid w:val="00AB5168"/>
    <w:rsid w:val="00AB516D"/>
    <w:rsid w:val="00AB526F"/>
    <w:rsid w:val="00AB60FE"/>
    <w:rsid w:val="00AB6994"/>
    <w:rsid w:val="00AB69F3"/>
    <w:rsid w:val="00AC12C4"/>
    <w:rsid w:val="00AC17AB"/>
    <w:rsid w:val="00AC1A2E"/>
    <w:rsid w:val="00AC42B8"/>
    <w:rsid w:val="00AC4549"/>
    <w:rsid w:val="00AC4857"/>
    <w:rsid w:val="00AC5C91"/>
    <w:rsid w:val="00AC6BD5"/>
    <w:rsid w:val="00AC7D7B"/>
    <w:rsid w:val="00AD074A"/>
    <w:rsid w:val="00AD0B21"/>
    <w:rsid w:val="00AD3045"/>
    <w:rsid w:val="00AD3379"/>
    <w:rsid w:val="00AD3AE1"/>
    <w:rsid w:val="00AD3E09"/>
    <w:rsid w:val="00AD3E79"/>
    <w:rsid w:val="00AD4136"/>
    <w:rsid w:val="00AD4766"/>
    <w:rsid w:val="00AD528C"/>
    <w:rsid w:val="00AD5415"/>
    <w:rsid w:val="00AE09DB"/>
    <w:rsid w:val="00AE0C52"/>
    <w:rsid w:val="00AE1614"/>
    <w:rsid w:val="00AE236A"/>
    <w:rsid w:val="00AE3404"/>
    <w:rsid w:val="00AE61CF"/>
    <w:rsid w:val="00AE6586"/>
    <w:rsid w:val="00AE67B6"/>
    <w:rsid w:val="00AE7AAE"/>
    <w:rsid w:val="00AE7C1F"/>
    <w:rsid w:val="00AF1BC4"/>
    <w:rsid w:val="00AF28DF"/>
    <w:rsid w:val="00AF3359"/>
    <w:rsid w:val="00AF487F"/>
    <w:rsid w:val="00AF5247"/>
    <w:rsid w:val="00AF5654"/>
    <w:rsid w:val="00AF7701"/>
    <w:rsid w:val="00B0078C"/>
    <w:rsid w:val="00B00AA6"/>
    <w:rsid w:val="00B00C48"/>
    <w:rsid w:val="00B01B85"/>
    <w:rsid w:val="00B02B1D"/>
    <w:rsid w:val="00B03804"/>
    <w:rsid w:val="00B03B15"/>
    <w:rsid w:val="00B0443C"/>
    <w:rsid w:val="00B04EEF"/>
    <w:rsid w:val="00B06972"/>
    <w:rsid w:val="00B07603"/>
    <w:rsid w:val="00B10201"/>
    <w:rsid w:val="00B115E0"/>
    <w:rsid w:val="00B11DF7"/>
    <w:rsid w:val="00B132ED"/>
    <w:rsid w:val="00B14217"/>
    <w:rsid w:val="00B149A8"/>
    <w:rsid w:val="00B14D5F"/>
    <w:rsid w:val="00B15163"/>
    <w:rsid w:val="00B15D6C"/>
    <w:rsid w:val="00B16457"/>
    <w:rsid w:val="00B17543"/>
    <w:rsid w:val="00B17D76"/>
    <w:rsid w:val="00B21352"/>
    <w:rsid w:val="00B214D8"/>
    <w:rsid w:val="00B226E3"/>
    <w:rsid w:val="00B2443E"/>
    <w:rsid w:val="00B253DE"/>
    <w:rsid w:val="00B26444"/>
    <w:rsid w:val="00B26B3C"/>
    <w:rsid w:val="00B26F9B"/>
    <w:rsid w:val="00B2707B"/>
    <w:rsid w:val="00B27924"/>
    <w:rsid w:val="00B27E2B"/>
    <w:rsid w:val="00B30BED"/>
    <w:rsid w:val="00B320AB"/>
    <w:rsid w:val="00B32933"/>
    <w:rsid w:val="00B33F73"/>
    <w:rsid w:val="00B353BD"/>
    <w:rsid w:val="00B35AFA"/>
    <w:rsid w:val="00B3606E"/>
    <w:rsid w:val="00B36779"/>
    <w:rsid w:val="00B3701A"/>
    <w:rsid w:val="00B402F7"/>
    <w:rsid w:val="00B407B7"/>
    <w:rsid w:val="00B40846"/>
    <w:rsid w:val="00B416E6"/>
    <w:rsid w:val="00B41976"/>
    <w:rsid w:val="00B4209F"/>
    <w:rsid w:val="00B4230A"/>
    <w:rsid w:val="00B42FE2"/>
    <w:rsid w:val="00B449E3"/>
    <w:rsid w:val="00B45600"/>
    <w:rsid w:val="00B46284"/>
    <w:rsid w:val="00B4638C"/>
    <w:rsid w:val="00B46714"/>
    <w:rsid w:val="00B46869"/>
    <w:rsid w:val="00B46A9D"/>
    <w:rsid w:val="00B46B87"/>
    <w:rsid w:val="00B46CED"/>
    <w:rsid w:val="00B5017D"/>
    <w:rsid w:val="00B5153D"/>
    <w:rsid w:val="00B522B6"/>
    <w:rsid w:val="00B52CB0"/>
    <w:rsid w:val="00B52EAA"/>
    <w:rsid w:val="00B52F71"/>
    <w:rsid w:val="00B53833"/>
    <w:rsid w:val="00B538A8"/>
    <w:rsid w:val="00B53E24"/>
    <w:rsid w:val="00B5504D"/>
    <w:rsid w:val="00B5626D"/>
    <w:rsid w:val="00B5734A"/>
    <w:rsid w:val="00B5776A"/>
    <w:rsid w:val="00B57E87"/>
    <w:rsid w:val="00B60CD3"/>
    <w:rsid w:val="00B61256"/>
    <w:rsid w:val="00B61D1D"/>
    <w:rsid w:val="00B61D78"/>
    <w:rsid w:val="00B63B6B"/>
    <w:rsid w:val="00B63D51"/>
    <w:rsid w:val="00B64258"/>
    <w:rsid w:val="00B653FE"/>
    <w:rsid w:val="00B659AC"/>
    <w:rsid w:val="00B6646A"/>
    <w:rsid w:val="00B66D61"/>
    <w:rsid w:val="00B719E5"/>
    <w:rsid w:val="00B721CA"/>
    <w:rsid w:val="00B73ADA"/>
    <w:rsid w:val="00B7492A"/>
    <w:rsid w:val="00B74D9E"/>
    <w:rsid w:val="00B7507E"/>
    <w:rsid w:val="00B754F1"/>
    <w:rsid w:val="00B76480"/>
    <w:rsid w:val="00B76D99"/>
    <w:rsid w:val="00B810BA"/>
    <w:rsid w:val="00B82816"/>
    <w:rsid w:val="00B83C5E"/>
    <w:rsid w:val="00B841ED"/>
    <w:rsid w:val="00B85F31"/>
    <w:rsid w:val="00B8613F"/>
    <w:rsid w:val="00B86921"/>
    <w:rsid w:val="00B87325"/>
    <w:rsid w:val="00B87B63"/>
    <w:rsid w:val="00B87D5A"/>
    <w:rsid w:val="00B90B16"/>
    <w:rsid w:val="00B90F0C"/>
    <w:rsid w:val="00B9161F"/>
    <w:rsid w:val="00B91A8C"/>
    <w:rsid w:val="00B924B9"/>
    <w:rsid w:val="00B92897"/>
    <w:rsid w:val="00B92BE0"/>
    <w:rsid w:val="00B93108"/>
    <w:rsid w:val="00B94481"/>
    <w:rsid w:val="00B946CC"/>
    <w:rsid w:val="00B953A2"/>
    <w:rsid w:val="00B96F98"/>
    <w:rsid w:val="00B972CD"/>
    <w:rsid w:val="00B97324"/>
    <w:rsid w:val="00B97339"/>
    <w:rsid w:val="00B97F1F"/>
    <w:rsid w:val="00BA0A6E"/>
    <w:rsid w:val="00BA24A4"/>
    <w:rsid w:val="00BA3365"/>
    <w:rsid w:val="00BA3CE7"/>
    <w:rsid w:val="00BA40D0"/>
    <w:rsid w:val="00BA45FC"/>
    <w:rsid w:val="00BA5A04"/>
    <w:rsid w:val="00BA68EB"/>
    <w:rsid w:val="00BB00C3"/>
    <w:rsid w:val="00BB0B1D"/>
    <w:rsid w:val="00BB104C"/>
    <w:rsid w:val="00BB13ED"/>
    <w:rsid w:val="00BB2236"/>
    <w:rsid w:val="00BB46EB"/>
    <w:rsid w:val="00BB4C7A"/>
    <w:rsid w:val="00BB54AD"/>
    <w:rsid w:val="00BB65F7"/>
    <w:rsid w:val="00BB6600"/>
    <w:rsid w:val="00BB7D6D"/>
    <w:rsid w:val="00BC0038"/>
    <w:rsid w:val="00BC1016"/>
    <w:rsid w:val="00BC1333"/>
    <w:rsid w:val="00BC21D9"/>
    <w:rsid w:val="00BC2448"/>
    <w:rsid w:val="00BC3271"/>
    <w:rsid w:val="00BC4AC6"/>
    <w:rsid w:val="00BC4B9F"/>
    <w:rsid w:val="00BC5568"/>
    <w:rsid w:val="00BC6246"/>
    <w:rsid w:val="00BC63DC"/>
    <w:rsid w:val="00BC68E8"/>
    <w:rsid w:val="00BC781F"/>
    <w:rsid w:val="00BC78EB"/>
    <w:rsid w:val="00BD0040"/>
    <w:rsid w:val="00BD0C87"/>
    <w:rsid w:val="00BD0F98"/>
    <w:rsid w:val="00BD1E5F"/>
    <w:rsid w:val="00BD2960"/>
    <w:rsid w:val="00BD2AEC"/>
    <w:rsid w:val="00BD3079"/>
    <w:rsid w:val="00BD32DD"/>
    <w:rsid w:val="00BD4671"/>
    <w:rsid w:val="00BD49C3"/>
    <w:rsid w:val="00BD59E1"/>
    <w:rsid w:val="00BD5C54"/>
    <w:rsid w:val="00BD5EE1"/>
    <w:rsid w:val="00BD62A0"/>
    <w:rsid w:val="00BD74D8"/>
    <w:rsid w:val="00BD76EC"/>
    <w:rsid w:val="00BE2545"/>
    <w:rsid w:val="00BE4817"/>
    <w:rsid w:val="00BE5997"/>
    <w:rsid w:val="00BE6858"/>
    <w:rsid w:val="00BE6A72"/>
    <w:rsid w:val="00BE78CD"/>
    <w:rsid w:val="00BF0068"/>
    <w:rsid w:val="00BF0247"/>
    <w:rsid w:val="00BF09FC"/>
    <w:rsid w:val="00BF0D5E"/>
    <w:rsid w:val="00BF300C"/>
    <w:rsid w:val="00BF4280"/>
    <w:rsid w:val="00BF51F3"/>
    <w:rsid w:val="00BF56BE"/>
    <w:rsid w:val="00BF6467"/>
    <w:rsid w:val="00C016EB"/>
    <w:rsid w:val="00C024FF"/>
    <w:rsid w:val="00C027FA"/>
    <w:rsid w:val="00C049CF"/>
    <w:rsid w:val="00C066C3"/>
    <w:rsid w:val="00C0675C"/>
    <w:rsid w:val="00C0677E"/>
    <w:rsid w:val="00C079E1"/>
    <w:rsid w:val="00C103E7"/>
    <w:rsid w:val="00C10E9E"/>
    <w:rsid w:val="00C11609"/>
    <w:rsid w:val="00C1210D"/>
    <w:rsid w:val="00C134CE"/>
    <w:rsid w:val="00C14116"/>
    <w:rsid w:val="00C14394"/>
    <w:rsid w:val="00C14BD7"/>
    <w:rsid w:val="00C168B5"/>
    <w:rsid w:val="00C172D0"/>
    <w:rsid w:val="00C17CCB"/>
    <w:rsid w:val="00C2010D"/>
    <w:rsid w:val="00C2020D"/>
    <w:rsid w:val="00C20654"/>
    <w:rsid w:val="00C20797"/>
    <w:rsid w:val="00C20BFA"/>
    <w:rsid w:val="00C2138A"/>
    <w:rsid w:val="00C232F1"/>
    <w:rsid w:val="00C232FA"/>
    <w:rsid w:val="00C233DC"/>
    <w:rsid w:val="00C23A17"/>
    <w:rsid w:val="00C25254"/>
    <w:rsid w:val="00C25C75"/>
    <w:rsid w:val="00C2621B"/>
    <w:rsid w:val="00C26A61"/>
    <w:rsid w:val="00C26E2C"/>
    <w:rsid w:val="00C27344"/>
    <w:rsid w:val="00C2740D"/>
    <w:rsid w:val="00C300EA"/>
    <w:rsid w:val="00C30A68"/>
    <w:rsid w:val="00C34165"/>
    <w:rsid w:val="00C34209"/>
    <w:rsid w:val="00C34535"/>
    <w:rsid w:val="00C3482B"/>
    <w:rsid w:val="00C35A77"/>
    <w:rsid w:val="00C35D7A"/>
    <w:rsid w:val="00C36A92"/>
    <w:rsid w:val="00C36B28"/>
    <w:rsid w:val="00C37E85"/>
    <w:rsid w:val="00C40C74"/>
    <w:rsid w:val="00C41864"/>
    <w:rsid w:val="00C41B24"/>
    <w:rsid w:val="00C42C07"/>
    <w:rsid w:val="00C42FEB"/>
    <w:rsid w:val="00C45864"/>
    <w:rsid w:val="00C45AF3"/>
    <w:rsid w:val="00C46034"/>
    <w:rsid w:val="00C479C2"/>
    <w:rsid w:val="00C47ABE"/>
    <w:rsid w:val="00C500C7"/>
    <w:rsid w:val="00C519AD"/>
    <w:rsid w:val="00C51ED1"/>
    <w:rsid w:val="00C5210A"/>
    <w:rsid w:val="00C52B4E"/>
    <w:rsid w:val="00C5327F"/>
    <w:rsid w:val="00C54320"/>
    <w:rsid w:val="00C54B78"/>
    <w:rsid w:val="00C559A5"/>
    <w:rsid w:val="00C56475"/>
    <w:rsid w:val="00C5699F"/>
    <w:rsid w:val="00C5754E"/>
    <w:rsid w:val="00C578E4"/>
    <w:rsid w:val="00C57E3D"/>
    <w:rsid w:val="00C60298"/>
    <w:rsid w:val="00C604A7"/>
    <w:rsid w:val="00C61D59"/>
    <w:rsid w:val="00C62725"/>
    <w:rsid w:val="00C6379A"/>
    <w:rsid w:val="00C63D3D"/>
    <w:rsid w:val="00C644B4"/>
    <w:rsid w:val="00C6637C"/>
    <w:rsid w:val="00C666A7"/>
    <w:rsid w:val="00C678C1"/>
    <w:rsid w:val="00C708CB"/>
    <w:rsid w:val="00C70F42"/>
    <w:rsid w:val="00C71199"/>
    <w:rsid w:val="00C72235"/>
    <w:rsid w:val="00C72C15"/>
    <w:rsid w:val="00C7356A"/>
    <w:rsid w:val="00C73F2E"/>
    <w:rsid w:val="00C74506"/>
    <w:rsid w:val="00C7477E"/>
    <w:rsid w:val="00C754E9"/>
    <w:rsid w:val="00C765B1"/>
    <w:rsid w:val="00C76883"/>
    <w:rsid w:val="00C770EC"/>
    <w:rsid w:val="00C77101"/>
    <w:rsid w:val="00C77375"/>
    <w:rsid w:val="00C77A55"/>
    <w:rsid w:val="00C817C3"/>
    <w:rsid w:val="00C8322F"/>
    <w:rsid w:val="00C83738"/>
    <w:rsid w:val="00C83DF9"/>
    <w:rsid w:val="00C84F1C"/>
    <w:rsid w:val="00C85254"/>
    <w:rsid w:val="00C85823"/>
    <w:rsid w:val="00C86569"/>
    <w:rsid w:val="00C868BB"/>
    <w:rsid w:val="00C86F24"/>
    <w:rsid w:val="00C87147"/>
    <w:rsid w:val="00C9092B"/>
    <w:rsid w:val="00C90961"/>
    <w:rsid w:val="00C90D46"/>
    <w:rsid w:val="00C9127E"/>
    <w:rsid w:val="00C93168"/>
    <w:rsid w:val="00C93D8D"/>
    <w:rsid w:val="00C941B6"/>
    <w:rsid w:val="00C94E47"/>
    <w:rsid w:val="00C95B10"/>
    <w:rsid w:val="00C95B36"/>
    <w:rsid w:val="00C96DBE"/>
    <w:rsid w:val="00C97E59"/>
    <w:rsid w:val="00CA0599"/>
    <w:rsid w:val="00CA0966"/>
    <w:rsid w:val="00CA0AF8"/>
    <w:rsid w:val="00CA16D7"/>
    <w:rsid w:val="00CA221F"/>
    <w:rsid w:val="00CA3009"/>
    <w:rsid w:val="00CA4287"/>
    <w:rsid w:val="00CA43F2"/>
    <w:rsid w:val="00CA4C0E"/>
    <w:rsid w:val="00CA564C"/>
    <w:rsid w:val="00CA61EA"/>
    <w:rsid w:val="00CA74B7"/>
    <w:rsid w:val="00CA7639"/>
    <w:rsid w:val="00CB09AD"/>
    <w:rsid w:val="00CB1013"/>
    <w:rsid w:val="00CB112E"/>
    <w:rsid w:val="00CB2456"/>
    <w:rsid w:val="00CB26E7"/>
    <w:rsid w:val="00CB2816"/>
    <w:rsid w:val="00CB2AB6"/>
    <w:rsid w:val="00CB3713"/>
    <w:rsid w:val="00CB3788"/>
    <w:rsid w:val="00CB3A1F"/>
    <w:rsid w:val="00CB3ABA"/>
    <w:rsid w:val="00CB3E78"/>
    <w:rsid w:val="00CB426C"/>
    <w:rsid w:val="00CB43BA"/>
    <w:rsid w:val="00CB58C4"/>
    <w:rsid w:val="00CB5FBA"/>
    <w:rsid w:val="00CB6160"/>
    <w:rsid w:val="00CB6958"/>
    <w:rsid w:val="00CB7F03"/>
    <w:rsid w:val="00CC017F"/>
    <w:rsid w:val="00CC1310"/>
    <w:rsid w:val="00CC15E0"/>
    <w:rsid w:val="00CC1BD2"/>
    <w:rsid w:val="00CC291E"/>
    <w:rsid w:val="00CC319A"/>
    <w:rsid w:val="00CC35C0"/>
    <w:rsid w:val="00CC4644"/>
    <w:rsid w:val="00CC5D98"/>
    <w:rsid w:val="00CC6E3C"/>
    <w:rsid w:val="00CC6EAA"/>
    <w:rsid w:val="00CD155A"/>
    <w:rsid w:val="00CD1E36"/>
    <w:rsid w:val="00CD1F04"/>
    <w:rsid w:val="00CD3660"/>
    <w:rsid w:val="00CD38D1"/>
    <w:rsid w:val="00CD409B"/>
    <w:rsid w:val="00CD5436"/>
    <w:rsid w:val="00CD6BAA"/>
    <w:rsid w:val="00CE0819"/>
    <w:rsid w:val="00CE0EAA"/>
    <w:rsid w:val="00CE17AC"/>
    <w:rsid w:val="00CE1CC0"/>
    <w:rsid w:val="00CE2035"/>
    <w:rsid w:val="00CE2587"/>
    <w:rsid w:val="00CE2C5B"/>
    <w:rsid w:val="00CE2E8E"/>
    <w:rsid w:val="00CE3107"/>
    <w:rsid w:val="00CE3F29"/>
    <w:rsid w:val="00CE409B"/>
    <w:rsid w:val="00CE4F8B"/>
    <w:rsid w:val="00CE580E"/>
    <w:rsid w:val="00CE618F"/>
    <w:rsid w:val="00CE6907"/>
    <w:rsid w:val="00CF035D"/>
    <w:rsid w:val="00CF1E0A"/>
    <w:rsid w:val="00CF3409"/>
    <w:rsid w:val="00CF3C0B"/>
    <w:rsid w:val="00CF5B7B"/>
    <w:rsid w:val="00CF5DE9"/>
    <w:rsid w:val="00CF615D"/>
    <w:rsid w:val="00CF66CE"/>
    <w:rsid w:val="00CF6877"/>
    <w:rsid w:val="00CF6CF4"/>
    <w:rsid w:val="00CF784F"/>
    <w:rsid w:val="00CF7E4A"/>
    <w:rsid w:val="00D007BA"/>
    <w:rsid w:val="00D0185A"/>
    <w:rsid w:val="00D02C3B"/>
    <w:rsid w:val="00D04304"/>
    <w:rsid w:val="00D04412"/>
    <w:rsid w:val="00D05DBB"/>
    <w:rsid w:val="00D06B3E"/>
    <w:rsid w:val="00D0788A"/>
    <w:rsid w:val="00D07EA4"/>
    <w:rsid w:val="00D10150"/>
    <w:rsid w:val="00D10A51"/>
    <w:rsid w:val="00D11459"/>
    <w:rsid w:val="00D12538"/>
    <w:rsid w:val="00D12798"/>
    <w:rsid w:val="00D13346"/>
    <w:rsid w:val="00D135FD"/>
    <w:rsid w:val="00D13F1E"/>
    <w:rsid w:val="00D15770"/>
    <w:rsid w:val="00D15DE9"/>
    <w:rsid w:val="00D161EE"/>
    <w:rsid w:val="00D16404"/>
    <w:rsid w:val="00D16603"/>
    <w:rsid w:val="00D17B1C"/>
    <w:rsid w:val="00D20A1F"/>
    <w:rsid w:val="00D20EAB"/>
    <w:rsid w:val="00D21064"/>
    <w:rsid w:val="00D21A34"/>
    <w:rsid w:val="00D2357A"/>
    <w:rsid w:val="00D237A4"/>
    <w:rsid w:val="00D23B47"/>
    <w:rsid w:val="00D247B6"/>
    <w:rsid w:val="00D24D0E"/>
    <w:rsid w:val="00D25375"/>
    <w:rsid w:val="00D27F63"/>
    <w:rsid w:val="00D314D8"/>
    <w:rsid w:val="00D32CA8"/>
    <w:rsid w:val="00D3418A"/>
    <w:rsid w:val="00D346FF"/>
    <w:rsid w:val="00D357CD"/>
    <w:rsid w:val="00D35B48"/>
    <w:rsid w:val="00D35EEB"/>
    <w:rsid w:val="00D3677B"/>
    <w:rsid w:val="00D36E1B"/>
    <w:rsid w:val="00D40C2D"/>
    <w:rsid w:val="00D410F9"/>
    <w:rsid w:val="00D411D7"/>
    <w:rsid w:val="00D41A23"/>
    <w:rsid w:val="00D42D5F"/>
    <w:rsid w:val="00D4377F"/>
    <w:rsid w:val="00D44286"/>
    <w:rsid w:val="00D446A3"/>
    <w:rsid w:val="00D44875"/>
    <w:rsid w:val="00D45A0F"/>
    <w:rsid w:val="00D45C21"/>
    <w:rsid w:val="00D465E3"/>
    <w:rsid w:val="00D4693C"/>
    <w:rsid w:val="00D47080"/>
    <w:rsid w:val="00D47FBA"/>
    <w:rsid w:val="00D50294"/>
    <w:rsid w:val="00D50739"/>
    <w:rsid w:val="00D5167E"/>
    <w:rsid w:val="00D51DA1"/>
    <w:rsid w:val="00D5217E"/>
    <w:rsid w:val="00D52889"/>
    <w:rsid w:val="00D528BE"/>
    <w:rsid w:val="00D52EB8"/>
    <w:rsid w:val="00D53A1B"/>
    <w:rsid w:val="00D53BC0"/>
    <w:rsid w:val="00D540A7"/>
    <w:rsid w:val="00D543A2"/>
    <w:rsid w:val="00D54E61"/>
    <w:rsid w:val="00D553FD"/>
    <w:rsid w:val="00D560E8"/>
    <w:rsid w:val="00D57D2A"/>
    <w:rsid w:val="00D57D5B"/>
    <w:rsid w:val="00D6066C"/>
    <w:rsid w:val="00D60974"/>
    <w:rsid w:val="00D6112F"/>
    <w:rsid w:val="00D6114C"/>
    <w:rsid w:val="00D63185"/>
    <w:rsid w:val="00D63783"/>
    <w:rsid w:val="00D63A42"/>
    <w:rsid w:val="00D643EF"/>
    <w:rsid w:val="00D6494A"/>
    <w:rsid w:val="00D65DFF"/>
    <w:rsid w:val="00D66C76"/>
    <w:rsid w:val="00D66D44"/>
    <w:rsid w:val="00D672AE"/>
    <w:rsid w:val="00D702CA"/>
    <w:rsid w:val="00D7131B"/>
    <w:rsid w:val="00D71EEB"/>
    <w:rsid w:val="00D72862"/>
    <w:rsid w:val="00D73D75"/>
    <w:rsid w:val="00D74C9A"/>
    <w:rsid w:val="00D74DC5"/>
    <w:rsid w:val="00D7544B"/>
    <w:rsid w:val="00D75F40"/>
    <w:rsid w:val="00D76988"/>
    <w:rsid w:val="00D77885"/>
    <w:rsid w:val="00D77AD2"/>
    <w:rsid w:val="00D77DE4"/>
    <w:rsid w:val="00D801F9"/>
    <w:rsid w:val="00D80C82"/>
    <w:rsid w:val="00D80CE1"/>
    <w:rsid w:val="00D81DD1"/>
    <w:rsid w:val="00D81EFC"/>
    <w:rsid w:val="00D821D7"/>
    <w:rsid w:val="00D82322"/>
    <w:rsid w:val="00D82334"/>
    <w:rsid w:val="00D82720"/>
    <w:rsid w:val="00D82821"/>
    <w:rsid w:val="00D8384F"/>
    <w:rsid w:val="00D83B50"/>
    <w:rsid w:val="00D84A96"/>
    <w:rsid w:val="00D85030"/>
    <w:rsid w:val="00D86195"/>
    <w:rsid w:val="00D862A3"/>
    <w:rsid w:val="00D87647"/>
    <w:rsid w:val="00D91096"/>
    <w:rsid w:val="00D92275"/>
    <w:rsid w:val="00D92304"/>
    <w:rsid w:val="00D9287E"/>
    <w:rsid w:val="00D92B10"/>
    <w:rsid w:val="00D93B6D"/>
    <w:rsid w:val="00D93CF7"/>
    <w:rsid w:val="00D93ECE"/>
    <w:rsid w:val="00D947C2"/>
    <w:rsid w:val="00D967D8"/>
    <w:rsid w:val="00D972B6"/>
    <w:rsid w:val="00DA0309"/>
    <w:rsid w:val="00DA060D"/>
    <w:rsid w:val="00DA0E5B"/>
    <w:rsid w:val="00DA2D90"/>
    <w:rsid w:val="00DA3DAB"/>
    <w:rsid w:val="00DA424E"/>
    <w:rsid w:val="00DA444B"/>
    <w:rsid w:val="00DA452F"/>
    <w:rsid w:val="00DA46C3"/>
    <w:rsid w:val="00DA473A"/>
    <w:rsid w:val="00DA4D65"/>
    <w:rsid w:val="00DA5C70"/>
    <w:rsid w:val="00DA5E45"/>
    <w:rsid w:val="00DA7ADF"/>
    <w:rsid w:val="00DA7D43"/>
    <w:rsid w:val="00DB0AF2"/>
    <w:rsid w:val="00DB0E65"/>
    <w:rsid w:val="00DB32C8"/>
    <w:rsid w:val="00DB4DC5"/>
    <w:rsid w:val="00DB4FB7"/>
    <w:rsid w:val="00DB5427"/>
    <w:rsid w:val="00DB55E6"/>
    <w:rsid w:val="00DB5A0D"/>
    <w:rsid w:val="00DB5AEF"/>
    <w:rsid w:val="00DB6A05"/>
    <w:rsid w:val="00DB6B6B"/>
    <w:rsid w:val="00DB6D32"/>
    <w:rsid w:val="00DB741F"/>
    <w:rsid w:val="00DB7AFE"/>
    <w:rsid w:val="00DC0F93"/>
    <w:rsid w:val="00DC118F"/>
    <w:rsid w:val="00DC295A"/>
    <w:rsid w:val="00DC3783"/>
    <w:rsid w:val="00DC3924"/>
    <w:rsid w:val="00DC4B34"/>
    <w:rsid w:val="00DC5890"/>
    <w:rsid w:val="00DC5D98"/>
    <w:rsid w:val="00DC76BA"/>
    <w:rsid w:val="00DC7D66"/>
    <w:rsid w:val="00DD17EE"/>
    <w:rsid w:val="00DD204D"/>
    <w:rsid w:val="00DD276B"/>
    <w:rsid w:val="00DD2BA8"/>
    <w:rsid w:val="00DD3837"/>
    <w:rsid w:val="00DD4326"/>
    <w:rsid w:val="00DD4400"/>
    <w:rsid w:val="00DD472E"/>
    <w:rsid w:val="00DD59AE"/>
    <w:rsid w:val="00DD6C05"/>
    <w:rsid w:val="00DD709D"/>
    <w:rsid w:val="00DD78DD"/>
    <w:rsid w:val="00DE07ED"/>
    <w:rsid w:val="00DE0D9F"/>
    <w:rsid w:val="00DE1A4C"/>
    <w:rsid w:val="00DE23D3"/>
    <w:rsid w:val="00DE3153"/>
    <w:rsid w:val="00DE377D"/>
    <w:rsid w:val="00DE47FA"/>
    <w:rsid w:val="00DE4A58"/>
    <w:rsid w:val="00DE5638"/>
    <w:rsid w:val="00DE66F6"/>
    <w:rsid w:val="00DE71C5"/>
    <w:rsid w:val="00DE78E3"/>
    <w:rsid w:val="00DF08AB"/>
    <w:rsid w:val="00DF1CD6"/>
    <w:rsid w:val="00DF1CF5"/>
    <w:rsid w:val="00DF381C"/>
    <w:rsid w:val="00DF48A7"/>
    <w:rsid w:val="00DF49F9"/>
    <w:rsid w:val="00DF4C78"/>
    <w:rsid w:val="00DF6808"/>
    <w:rsid w:val="00DF68BD"/>
    <w:rsid w:val="00DF70BD"/>
    <w:rsid w:val="00DF7771"/>
    <w:rsid w:val="00E00EE7"/>
    <w:rsid w:val="00E01224"/>
    <w:rsid w:val="00E02347"/>
    <w:rsid w:val="00E02D1A"/>
    <w:rsid w:val="00E0341D"/>
    <w:rsid w:val="00E036A2"/>
    <w:rsid w:val="00E04F31"/>
    <w:rsid w:val="00E0640A"/>
    <w:rsid w:val="00E068C8"/>
    <w:rsid w:val="00E07EB8"/>
    <w:rsid w:val="00E114C3"/>
    <w:rsid w:val="00E11CDF"/>
    <w:rsid w:val="00E12606"/>
    <w:rsid w:val="00E12EFD"/>
    <w:rsid w:val="00E1315D"/>
    <w:rsid w:val="00E1373F"/>
    <w:rsid w:val="00E13748"/>
    <w:rsid w:val="00E138E0"/>
    <w:rsid w:val="00E13B20"/>
    <w:rsid w:val="00E142C6"/>
    <w:rsid w:val="00E145E6"/>
    <w:rsid w:val="00E15DD9"/>
    <w:rsid w:val="00E16DB4"/>
    <w:rsid w:val="00E173C6"/>
    <w:rsid w:val="00E17408"/>
    <w:rsid w:val="00E177DF"/>
    <w:rsid w:val="00E20D5A"/>
    <w:rsid w:val="00E227F3"/>
    <w:rsid w:val="00E22A14"/>
    <w:rsid w:val="00E23DD9"/>
    <w:rsid w:val="00E26B93"/>
    <w:rsid w:val="00E277D1"/>
    <w:rsid w:val="00E301D9"/>
    <w:rsid w:val="00E307F1"/>
    <w:rsid w:val="00E30A62"/>
    <w:rsid w:val="00E312B3"/>
    <w:rsid w:val="00E31923"/>
    <w:rsid w:val="00E336EC"/>
    <w:rsid w:val="00E33934"/>
    <w:rsid w:val="00E36906"/>
    <w:rsid w:val="00E36F82"/>
    <w:rsid w:val="00E37C54"/>
    <w:rsid w:val="00E40113"/>
    <w:rsid w:val="00E40997"/>
    <w:rsid w:val="00E40DA4"/>
    <w:rsid w:val="00E410F4"/>
    <w:rsid w:val="00E41727"/>
    <w:rsid w:val="00E42363"/>
    <w:rsid w:val="00E429E4"/>
    <w:rsid w:val="00E4326A"/>
    <w:rsid w:val="00E4467C"/>
    <w:rsid w:val="00E4494A"/>
    <w:rsid w:val="00E47487"/>
    <w:rsid w:val="00E47DDB"/>
    <w:rsid w:val="00E50433"/>
    <w:rsid w:val="00E51162"/>
    <w:rsid w:val="00E522AC"/>
    <w:rsid w:val="00E52F62"/>
    <w:rsid w:val="00E52FCA"/>
    <w:rsid w:val="00E548D2"/>
    <w:rsid w:val="00E56BE6"/>
    <w:rsid w:val="00E57880"/>
    <w:rsid w:val="00E605CD"/>
    <w:rsid w:val="00E609F6"/>
    <w:rsid w:val="00E60CB3"/>
    <w:rsid w:val="00E613A7"/>
    <w:rsid w:val="00E61CE8"/>
    <w:rsid w:val="00E62BFB"/>
    <w:rsid w:val="00E62DEE"/>
    <w:rsid w:val="00E62EA3"/>
    <w:rsid w:val="00E631D5"/>
    <w:rsid w:val="00E6384F"/>
    <w:rsid w:val="00E640A0"/>
    <w:rsid w:val="00E66C7A"/>
    <w:rsid w:val="00E675B9"/>
    <w:rsid w:val="00E67AB6"/>
    <w:rsid w:val="00E7007D"/>
    <w:rsid w:val="00E714F7"/>
    <w:rsid w:val="00E71BF8"/>
    <w:rsid w:val="00E72223"/>
    <w:rsid w:val="00E72297"/>
    <w:rsid w:val="00E72D82"/>
    <w:rsid w:val="00E72EEA"/>
    <w:rsid w:val="00E73F7C"/>
    <w:rsid w:val="00E7417E"/>
    <w:rsid w:val="00E74FC3"/>
    <w:rsid w:val="00E77390"/>
    <w:rsid w:val="00E77C1A"/>
    <w:rsid w:val="00E824C8"/>
    <w:rsid w:val="00E83B1D"/>
    <w:rsid w:val="00E83C9E"/>
    <w:rsid w:val="00E85D45"/>
    <w:rsid w:val="00E862AE"/>
    <w:rsid w:val="00E8695F"/>
    <w:rsid w:val="00E86C25"/>
    <w:rsid w:val="00E870A9"/>
    <w:rsid w:val="00E876A7"/>
    <w:rsid w:val="00E876AF"/>
    <w:rsid w:val="00E914D4"/>
    <w:rsid w:val="00E915AD"/>
    <w:rsid w:val="00E91970"/>
    <w:rsid w:val="00E936C2"/>
    <w:rsid w:val="00E93AF1"/>
    <w:rsid w:val="00E94465"/>
    <w:rsid w:val="00E94CAA"/>
    <w:rsid w:val="00E9573D"/>
    <w:rsid w:val="00E95CAE"/>
    <w:rsid w:val="00E95D1B"/>
    <w:rsid w:val="00E9624A"/>
    <w:rsid w:val="00E963D3"/>
    <w:rsid w:val="00E963FB"/>
    <w:rsid w:val="00E96502"/>
    <w:rsid w:val="00E97B69"/>
    <w:rsid w:val="00EA0BED"/>
    <w:rsid w:val="00EA1D70"/>
    <w:rsid w:val="00EA25E1"/>
    <w:rsid w:val="00EA4256"/>
    <w:rsid w:val="00EA4690"/>
    <w:rsid w:val="00EA4881"/>
    <w:rsid w:val="00EA7071"/>
    <w:rsid w:val="00EA7F9B"/>
    <w:rsid w:val="00EB01C7"/>
    <w:rsid w:val="00EB0405"/>
    <w:rsid w:val="00EB1043"/>
    <w:rsid w:val="00EB1BDA"/>
    <w:rsid w:val="00EB27FC"/>
    <w:rsid w:val="00EB29B1"/>
    <w:rsid w:val="00EB2E38"/>
    <w:rsid w:val="00EB2EB4"/>
    <w:rsid w:val="00EB2FAD"/>
    <w:rsid w:val="00EB3583"/>
    <w:rsid w:val="00EB4F26"/>
    <w:rsid w:val="00EB4FDE"/>
    <w:rsid w:val="00EB54F1"/>
    <w:rsid w:val="00EB65D9"/>
    <w:rsid w:val="00EC01BE"/>
    <w:rsid w:val="00EC0EA3"/>
    <w:rsid w:val="00EC11F1"/>
    <w:rsid w:val="00EC26A0"/>
    <w:rsid w:val="00EC287B"/>
    <w:rsid w:val="00EC2AB6"/>
    <w:rsid w:val="00EC3C7E"/>
    <w:rsid w:val="00EC5F10"/>
    <w:rsid w:val="00EC6A23"/>
    <w:rsid w:val="00EC6C1D"/>
    <w:rsid w:val="00ED0EEA"/>
    <w:rsid w:val="00ED1AA4"/>
    <w:rsid w:val="00ED2938"/>
    <w:rsid w:val="00ED2AD4"/>
    <w:rsid w:val="00ED46BE"/>
    <w:rsid w:val="00ED5563"/>
    <w:rsid w:val="00ED5DE7"/>
    <w:rsid w:val="00ED6198"/>
    <w:rsid w:val="00ED792E"/>
    <w:rsid w:val="00ED7B7A"/>
    <w:rsid w:val="00ED7D0A"/>
    <w:rsid w:val="00ED7E63"/>
    <w:rsid w:val="00ED7E93"/>
    <w:rsid w:val="00EE0AC6"/>
    <w:rsid w:val="00EE1E4B"/>
    <w:rsid w:val="00EE2C66"/>
    <w:rsid w:val="00EE340A"/>
    <w:rsid w:val="00EE3EA6"/>
    <w:rsid w:val="00EE40CE"/>
    <w:rsid w:val="00EE4664"/>
    <w:rsid w:val="00EE5828"/>
    <w:rsid w:val="00EE5A42"/>
    <w:rsid w:val="00EE6C0D"/>
    <w:rsid w:val="00EE6E06"/>
    <w:rsid w:val="00EF0BC0"/>
    <w:rsid w:val="00EF0EE3"/>
    <w:rsid w:val="00EF22A5"/>
    <w:rsid w:val="00EF29F6"/>
    <w:rsid w:val="00EF334D"/>
    <w:rsid w:val="00EF46E5"/>
    <w:rsid w:val="00EF4799"/>
    <w:rsid w:val="00EF6C2D"/>
    <w:rsid w:val="00EF6D5A"/>
    <w:rsid w:val="00EF6FE8"/>
    <w:rsid w:val="00F00880"/>
    <w:rsid w:val="00F009E5"/>
    <w:rsid w:val="00F00E08"/>
    <w:rsid w:val="00F0168C"/>
    <w:rsid w:val="00F02E86"/>
    <w:rsid w:val="00F055E8"/>
    <w:rsid w:val="00F05614"/>
    <w:rsid w:val="00F05E13"/>
    <w:rsid w:val="00F066A9"/>
    <w:rsid w:val="00F0688D"/>
    <w:rsid w:val="00F06D64"/>
    <w:rsid w:val="00F109B3"/>
    <w:rsid w:val="00F12735"/>
    <w:rsid w:val="00F131D7"/>
    <w:rsid w:val="00F1554C"/>
    <w:rsid w:val="00F16630"/>
    <w:rsid w:val="00F166DF"/>
    <w:rsid w:val="00F16D99"/>
    <w:rsid w:val="00F170E9"/>
    <w:rsid w:val="00F173A0"/>
    <w:rsid w:val="00F173E4"/>
    <w:rsid w:val="00F216A0"/>
    <w:rsid w:val="00F21DAC"/>
    <w:rsid w:val="00F2246F"/>
    <w:rsid w:val="00F234AD"/>
    <w:rsid w:val="00F23ECB"/>
    <w:rsid w:val="00F24216"/>
    <w:rsid w:val="00F24836"/>
    <w:rsid w:val="00F26437"/>
    <w:rsid w:val="00F26762"/>
    <w:rsid w:val="00F276BD"/>
    <w:rsid w:val="00F27729"/>
    <w:rsid w:val="00F30782"/>
    <w:rsid w:val="00F31873"/>
    <w:rsid w:val="00F3190C"/>
    <w:rsid w:val="00F32164"/>
    <w:rsid w:val="00F324EA"/>
    <w:rsid w:val="00F33510"/>
    <w:rsid w:val="00F34330"/>
    <w:rsid w:val="00F35038"/>
    <w:rsid w:val="00F350B0"/>
    <w:rsid w:val="00F35672"/>
    <w:rsid w:val="00F359C5"/>
    <w:rsid w:val="00F3711A"/>
    <w:rsid w:val="00F408A1"/>
    <w:rsid w:val="00F40902"/>
    <w:rsid w:val="00F40913"/>
    <w:rsid w:val="00F40B52"/>
    <w:rsid w:val="00F40F75"/>
    <w:rsid w:val="00F41027"/>
    <w:rsid w:val="00F41289"/>
    <w:rsid w:val="00F42DED"/>
    <w:rsid w:val="00F43BAF"/>
    <w:rsid w:val="00F43C4C"/>
    <w:rsid w:val="00F43CEA"/>
    <w:rsid w:val="00F441EC"/>
    <w:rsid w:val="00F459DD"/>
    <w:rsid w:val="00F46485"/>
    <w:rsid w:val="00F47085"/>
    <w:rsid w:val="00F47432"/>
    <w:rsid w:val="00F47A3D"/>
    <w:rsid w:val="00F50A95"/>
    <w:rsid w:val="00F5146E"/>
    <w:rsid w:val="00F53621"/>
    <w:rsid w:val="00F54CC0"/>
    <w:rsid w:val="00F550E8"/>
    <w:rsid w:val="00F56240"/>
    <w:rsid w:val="00F562F9"/>
    <w:rsid w:val="00F56DA4"/>
    <w:rsid w:val="00F57915"/>
    <w:rsid w:val="00F57F71"/>
    <w:rsid w:val="00F6002F"/>
    <w:rsid w:val="00F6077E"/>
    <w:rsid w:val="00F61F77"/>
    <w:rsid w:val="00F62186"/>
    <w:rsid w:val="00F6241F"/>
    <w:rsid w:val="00F62DD2"/>
    <w:rsid w:val="00F63565"/>
    <w:rsid w:val="00F64041"/>
    <w:rsid w:val="00F64053"/>
    <w:rsid w:val="00F64F1D"/>
    <w:rsid w:val="00F65946"/>
    <w:rsid w:val="00F679C8"/>
    <w:rsid w:val="00F67A60"/>
    <w:rsid w:val="00F67DFA"/>
    <w:rsid w:val="00F700C0"/>
    <w:rsid w:val="00F71694"/>
    <w:rsid w:val="00F71713"/>
    <w:rsid w:val="00F72A19"/>
    <w:rsid w:val="00F72C79"/>
    <w:rsid w:val="00F72CDA"/>
    <w:rsid w:val="00F72D28"/>
    <w:rsid w:val="00F73AF4"/>
    <w:rsid w:val="00F73EE0"/>
    <w:rsid w:val="00F748D7"/>
    <w:rsid w:val="00F75208"/>
    <w:rsid w:val="00F757D6"/>
    <w:rsid w:val="00F75B6F"/>
    <w:rsid w:val="00F77B79"/>
    <w:rsid w:val="00F82A90"/>
    <w:rsid w:val="00F82C55"/>
    <w:rsid w:val="00F82E62"/>
    <w:rsid w:val="00F836B9"/>
    <w:rsid w:val="00F84394"/>
    <w:rsid w:val="00F845A6"/>
    <w:rsid w:val="00F849E2"/>
    <w:rsid w:val="00F84D2C"/>
    <w:rsid w:val="00F856AB"/>
    <w:rsid w:val="00F86DF4"/>
    <w:rsid w:val="00F870DE"/>
    <w:rsid w:val="00F871B9"/>
    <w:rsid w:val="00F91065"/>
    <w:rsid w:val="00F91677"/>
    <w:rsid w:val="00F9185E"/>
    <w:rsid w:val="00F92D2F"/>
    <w:rsid w:val="00F930C7"/>
    <w:rsid w:val="00F934EA"/>
    <w:rsid w:val="00F9353E"/>
    <w:rsid w:val="00F93932"/>
    <w:rsid w:val="00F93C48"/>
    <w:rsid w:val="00F941C5"/>
    <w:rsid w:val="00F94DE8"/>
    <w:rsid w:val="00F94E98"/>
    <w:rsid w:val="00F9593F"/>
    <w:rsid w:val="00F95A39"/>
    <w:rsid w:val="00F96577"/>
    <w:rsid w:val="00F97184"/>
    <w:rsid w:val="00F97C1F"/>
    <w:rsid w:val="00FA1074"/>
    <w:rsid w:val="00FA1940"/>
    <w:rsid w:val="00FA1B0B"/>
    <w:rsid w:val="00FA29D3"/>
    <w:rsid w:val="00FA3515"/>
    <w:rsid w:val="00FA382B"/>
    <w:rsid w:val="00FA437A"/>
    <w:rsid w:val="00FA4C6E"/>
    <w:rsid w:val="00FA5CE7"/>
    <w:rsid w:val="00FA616E"/>
    <w:rsid w:val="00FA63F8"/>
    <w:rsid w:val="00FA6686"/>
    <w:rsid w:val="00FA6C65"/>
    <w:rsid w:val="00FA6EC0"/>
    <w:rsid w:val="00FA6FE4"/>
    <w:rsid w:val="00FA77A5"/>
    <w:rsid w:val="00FA7D12"/>
    <w:rsid w:val="00FB0056"/>
    <w:rsid w:val="00FB18AA"/>
    <w:rsid w:val="00FB2649"/>
    <w:rsid w:val="00FB2FFD"/>
    <w:rsid w:val="00FB32C6"/>
    <w:rsid w:val="00FB4F5D"/>
    <w:rsid w:val="00FB5742"/>
    <w:rsid w:val="00FB5E6C"/>
    <w:rsid w:val="00FB683B"/>
    <w:rsid w:val="00FB7FD8"/>
    <w:rsid w:val="00FC05F5"/>
    <w:rsid w:val="00FC09B4"/>
    <w:rsid w:val="00FC0E12"/>
    <w:rsid w:val="00FC261C"/>
    <w:rsid w:val="00FC2B70"/>
    <w:rsid w:val="00FC386E"/>
    <w:rsid w:val="00FC3918"/>
    <w:rsid w:val="00FC3BAD"/>
    <w:rsid w:val="00FC41AD"/>
    <w:rsid w:val="00FC48B3"/>
    <w:rsid w:val="00FC4DC8"/>
    <w:rsid w:val="00FC51E6"/>
    <w:rsid w:val="00FC5CBC"/>
    <w:rsid w:val="00FD012A"/>
    <w:rsid w:val="00FD0471"/>
    <w:rsid w:val="00FD0CC5"/>
    <w:rsid w:val="00FD1C9C"/>
    <w:rsid w:val="00FD2C1B"/>
    <w:rsid w:val="00FD36E4"/>
    <w:rsid w:val="00FD5296"/>
    <w:rsid w:val="00FD57BA"/>
    <w:rsid w:val="00FD73B0"/>
    <w:rsid w:val="00FD746C"/>
    <w:rsid w:val="00FD76C1"/>
    <w:rsid w:val="00FD7CB3"/>
    <w:rsid w:val="00FD7EE9"/>
    <w:rsid w:val="00FD7F23"/>
    <w:rsid w:val="00FE001A"/>
    <w:rsid w:val="00FE0521"/>
    <w:rsid w:val="00FE07BD"/>
    <w:rsid w:val="00FE0806"/>
    <w:rsid w:val="00FE0AD7"/>
    <w:rsid w:val="00FE0D9D"/>
    <w:rsid w:val="00FE104F"/>
    <w:rsid w:val="00FE1242"/>
    <w:rsid w:val="00FE1D3B"/>
    <w:rsid w:val="00FE2CFC"/>
    <w:rsid w:val="00FE2DD2"/>
    <w:rsid w:val="00FE2DD3"/>
    <w:rsid w:val="00FE37B7"/>
    <w:rsid w:val="00FE3A14"/>
    <w:rsid w:val="00FE50EC"/>
    <w:rsid w:val="00FE53A1"/>
    <w:rsid w:val="00FE57FA"/>
    <w:rsid w:val="00FE6639"/>
    <w:rsid w:val="00FF0106"/>
    <w:rsid w:val="00FF22F7"/>
    <w:rsid w:val="00FF3575"/>
    <w:rsid w:val="00FF3BD8"/>
    <w:rsid w:val="00FF3FB1"/>
    <w:rsid w:val="00FF591C"/>
    <w:rsid w:val="00FF6747"/>
    <w:rsid w:val="00FF6EC3"/>
    <w:rsid w:val="00FF72B9"/>
    <w:rsid w:val="00FF7A39"/>
    <w:rsid w:val="01082F21"/>
    <w:rsid w:val="01B519A9"/>
    <w:rsid w:val="01EF3171"/>
    <w:rsid w:val="02D2672C"/>
    <w:rsid w:val="033665AE"/>
    <w:rsid w:val="0384511A"/>
    <w:rsid w:val="0465170E"/>
    <w:rsid w:val="05022DFB"/>
    <w:rsid w:val="05642E52"/>
    <w:rsid w:val="05B3064F"/>
    <w:rsid w:val="064C593D"/>
    <w:rsid w:val="067800B8"/>
    <w:rsid w:val="089665C2"/>
    <w:rsid w:val="089C6935"/>
    <w:rsid w:val="08B41A24"/>
    <w:rsid w:val="093D47E6"/>
    <w:rsid w:val="09751DAC"/>
    <w:rsid w:val="09C80B52"/>
    <w:rsid w:val="09FB7B29"/>
    <w:rsid w:val="0AE3324A"/>
    <w:rsid w:val="0B0A6183"/>
    <w:rsid w:val="0B407E95"/>
    <w:rsid w:val="0BF05775"/>
    <w:rsid w:val="0CF476FC"/>
    <w:rsid w:val="0D5C4AA5"/>
    <w:rsid w:val="0D78261C"/>
    <w:rsid w:val="0DC15B06"/>
    <w:rsid w:val="0E6035F6"/>
    <w:rsid w:val="0E7C41BB"/>
    <w:rsid w:val="0E8B0C2E"/>
    <w:rsid w:val="0ECD53D5"/>
    <w:rsid w:val="0F100611"/>
    <w:rsid w:val="0F2366CB"/>
    <w:rsid w:val="0FCD7222"/>
    <w:rsid w:val="103A4848"/>
    <w:rsid w:val="10852E1B"/>
    <w:rsid w:val="10C60B09"/>
    <w:rsid w:val="11577E72"/>
    <w:rsid w:val="11810FA8"/>
    <w:rsid w:val="11830A6F"/>
    <w:rsid w:val="119866B7"/>
    <w:rsid w:val="11D904B8"/>
    <w:rsid w:val="12140B36"/>
    <w:rsid w:val="12600281"/>
    <w:rsid w:val="129F1BAA"/>
    <w:rsid w:val="12E96888"/>
    <w:rsid w:val="132A4E9A"/>
    <w:rsid w:val="13B70AAB"/>
    <w:rsid w:val="141A627B"/>
    <w:rsid w:val="1496293B"/>
    <w:rsid w:val="15230E00"/>
    <w:rsid w:val="155B6E97"/>
    <w:rsid w:val="15AB431C"/>
    <w:rsid w:val="15C37947"/>
    <w:rsid w:val="15EE0BD9"/>
    <w:rsid w:val="16897580"/>
    <w:rsid w:val="178E6DE6"/>
    <w:rsid w:val="17AA68D8"/>
    <w:rsid w:val="192B6C5D"/>
    <w:rsid w:val="19D21EA7"/>
    <w:rsid w:val="1A315A6A"/>
    <w:rsid w:val="1A981DB0"/>
    <w:rsid w:val="1B0B6556"/>
    <w:rsid w:val="1B141581"/>
    <w:rsid w:val="1C3D5C46"/>
    <w:rsid w:val="1C9A60EC"/>
    <w:rsid w:val="1CBB5AFA"/>
    <w:rsid w:val="1CC01549"/>
    <w:rsid w:val="1D061B40"/>
    <w:rsid w:val="1D1F4413"/>
    <w:rsid w:val="1E4D2CDB"/>
    <w:rsid w:val="1E5E47D2"/>
    <w:rsid w:val="1EC15835"/>
    <w:rsid w:val="1EFD02F5"/>
    <w:rsid w:val="1F9E72B3"/>
    <w:rsid w:val="1FD12BF9"/>
    <w:rsid w:val="1FDD2D88"/>
    <w:rsid w:val="1FF362B7"/>
    <w:rsid w:val="20EF36DF"/>
    <w:rsid w:val="213A3CEE"/>
    <w:rsid w:val="214801C6"/>
    <w:rsid w:val="219462AD"/>
    <w:rsid w:val="219C107D"/>
    <w:rsid w:val="21B15EAF"/>
    <w:rsid w:val="22E573B4"/>
    <w:rsid w:val="22F1158C"/>
    <w:rsid w:val="23642EB0"/>
    <w:rsid w:val="237C2602"/>
    <w:rsid w:val="26CD049E"/>
    <w:rsid w:val="26F020C3"/>
    <w:rsid w:val="270614CF"/>
    <w:rsid w:val="27DE72C8"/>
    <w:rsid w:val="27FE5397"/>
    <w:rsid w:val="28A14636"/>
    <w:rsid w:val="28E84DD6"/>
    <w:rsid w:val="29C87D71"/>
    <w:rsid w:val="29E44063"/>
    <w:rsid w:val="29E825A9"/>
    <w:rsid w:val="2AE01A8B"/>
    <w:rsid w:val="2B1C56EE"/>
    <w:rsid w:val="2BED2EAC"/>
    <w:rsid w:val="2C1311BD"/>
    <w:rsid w:val="2C484FFD"/>
    <w:rsid w:val="2C740FC6"/>
    <w:rsid w:val="2DBB1CED"/>
    <w:rsid w:val="2E18590C"/>
    <w:rsid w:val="2E8D00A8"/>
    <w:rsid w:val="2E8F7FCD"/>
    <w:rsid w:val="2E9D66C0"/>
    <w:rsid w:val="2E9F0C83"/>
    <w:rsid w:val="2EFE340F"/>
    <w:rsid w:val="303344E6"/>
    <w:rsid w:val="3059724B"/>
    <w:rsid w:val="31252660"/>
    <w:rsid w:val="312F1A09"/>
    <w:rsid w:val="318B6DE3"/>
    <w:rsid w:val="31B513CD"/>
    <w:rsid w:val="31CB114F"/>
    <w:rsid w:val="3332C3A9"/>
    <w:rsid w:val="33C248DF"/>
    <w:rsid w:val="34E3352F"/>
    <w:rsid w:val="35030547"/>
    <w:rsid w:val="357060CB"/>
    <w:rsid w:val="35A67660"/>
    <w:rsid w:val="363435B8"/>
    <w:rsid w:val="3667616B"/>
    <w:rsid w:val="366F1F06"/>
    <w:rsid w:val="36E06DAA"/>
    <w:rsid w:val="374E0A55"/>
    <w:rsid w:val="375E2997"/>
    <w:rsid w:val="376331CC"/>
    <w:rsid w:val="37DF4AEB"/>
    <w:rsid w:val="37EE725D"/>
    <w:rsid w:val="380A047D"/>
    <w:rsid w:val="393E7586"/>
    <w:rsid w:val="39712762"/>
    <w:rsid w:val="3991394E"/>
    <w:rsid w:val="39A17F52"/>
    <w:rsid w:val="39F93B68"/>
    <w:rsid w:val="3A2D3BA1"/>
    <w:rsid w:val="3A443853"/>
    <w:rsid w:val="3AC55680"/>
    <w:rsid w:val="3B613F1C"/>
    <w:rsid w:val="3B8C7887"/>
    <w:rsid w:val="3DED1E99"/>
    <w:rsid w:val="3F1837FD"/>
    <w:rsid w:val="3F286B88"/>
    <w:rsid w:val="3F7433A4"/>
    <w:rsid w:val="3FDFCEF1"/>
    <w:rsid w:val="3FFB09DB"/>
    <w:rsid w:val="3FFFD4D7"/>
    <w:rsid w:val="401A3D96"/>
    <w:rsid w:val="404A69D2"/>
    <w:rsid w:val="40962E54"/>
    <w:rsid w:val="40984578"/>
    <w:rsid w:val="410002CA"/>
    <w:rsid w:val="415F7B62"/>
    <w:rsid w:val="41F366B9"/>
    <w:rsid w:val="425471A3"/>
    <w:rsid w:val="42B00226"/>
    <w:rsid w:val="446D41CA"/>
    <w:rsid w:val="449B18C5"/>
    <w:rsid w:val="450477EB"/>
    <w:rsid w:val="460D2FD0"/>
    <w:rsid w:val="47675D04"/>
    <w:rsid w:val="47825D4E"/>
    <w:rsid w:val="47A16858"/>
    <w:rsid w:val="499E20DB"/>
    <w:rsid w:val="4A306AFC"/>
    <w:rsid w:val="4BB5032F"/>
    <w:rsid w:val="4BB73EDB"/>
    <w:rsid w:val="4BC02131"/>
    <w:rsid w:val="4BDA2023"/>
    <w:rsid w:val="4BE742D7"/>
    <w:rsid w:val="4C1E4FF9"/>
    <w:rsid w:val="4C9D09AF"/>
    <w:rsid w:val="4CA41912"/>
    <w:rsid w:val="4CB5788A"/>
    <w:rsid w:val="4E014A19"/>
    <w:rsid w:val="500C21E8"/>
    <w:rsid w:val="504577B9"/>
    <w:rsid w:val="51AB40A0"/>
    <w:rsid w:val="52C31AC9"/>
    <w:rsid w:val="52F930EA"/>
    <w:rsid w:val="53885A4F"/>
    <w:rsid w:val="53C54F4C"/>
    <w:rsid w:val="53F568F0"/>
    <w:rsid w:val="53FF3C35"/>
    <w:rsid w:val="54666EAA"/>
    <w:rsid w:val="54A203F4"/>
    <w:rsid w:val="54FC2BB4"/>
    <w:rsid w:val="55735579"/>
    <w:rsid w:val="558455B7"/>
    <w:rsid w:val="56082DCF"/>
    <w:rsid w:val="56317BF9"/>
    <w:rsid w:val="58005035"/>
    <w:rsid w:val="583F2720"/>
    <w:rsid w:val="59221E80"/>
    <w:rsid w:val="59363754"/>
    <w:rsid w:val="596B0967"/>
    <w:rsid w:val="59FC6F0D"/>
    <w:rsid w:val="5A78467D"/>
    <w:rsid w:val="5A7C70FC"/>
    <w:rsid w:val="5B194C6F"/>
    <w:rsid w:val="5BCD60C8"/>
    <w:rsid w:val="5BE62D7B"/>
    <w:rsid w:val="5C275CD6"/>
    <w:rsid w:val="5CB747FD"/>
    <w:rsid w:val="5D4558E2"/>
    <w:rsid w:val="5D594DCC"/>
    <w:rsid w:val="5EAC34EC"/>
    <w:rsid w:val="5F9E573F"/>
    <w:rsid w:val="5FF8ADFC"/>
    <w:rsid w:val="6021556F"/>
    <w:rsid w:val="60DF3537"/>
    <w:rsid w:val="60F32F76"/>
    <w:rsid w:val="61F769B3"/>
    <w:rsid w:val="62151DA9"/>
    <w:rsid w:val="62587DBE"/>
    <w:rsid w:val="630F2E87"/>
    <w:rsid w:val="63534FDD"/>
    <w:rsid w:val="63DF5AAE"/>
    <w:rsid w:val="649B44B4"/>
    <w:rsid w:val="651C20E8"/>
    <w:rsid w:val="6548223A"/>
    <w:rsid w:val="65C3746C"/>
    <w:rsid w:val="664C086C"/>
    <w:rsid w:val="66BD2D5A"/>
    <w:rsid w:val="66FBCFB1"/>
    <w:rsid w:val="674C4A78"/>
    <w:rsid w:val="679D43EB"/>
    <w:rsid w:val="680F5324"/>
    <w:rsid w:val="694F5E8C"/>
    <w:rsid w:val="6A2A0E08"/>
    <w:rsid w:val="6A592426"/>
    <w:rsid w:val="6A803925"/>
    <w:rsid w:val="6AFC057B"/>
    <w:rsid w:val="6B1547A3"/>
    <w:rsid w:val="6B534B93"/>
    <w:rsid w:val="6B5549E0"/>
    <w:rsid w:val="6C041438"/>
    <w:rsid w:val="6CB16E2D"/>
    <w:rsid w:val="6CB1750D"/>
    <w:rsid w:val="6CEC09CA"/>
    <w:rsid w:val="6CF411EC"/>
    <w:rsid w:val="6DA864BD"/>
    <w:rsid w:val="6DF43A4F"/>
    <w:rsid w:val="6EFC3D06"/>
    <w:rsid w:val="6F1B3D08"/>
    <w:rsid w:val="6F21199E"/>
    <w:rsid w:val="70406A76"/>
    <w:rsid w:val="707B1B22"/>
    <w:rsid w:val="713C4145"/>
    <w:rsid w:val="71613784"/>
    <w:rsid w:val="716D6F11"/>
    <w:rsid w:val="718F66C6"/>
    <w:rsid w:val="71B46B19"/>
    <w:rsid w:val="722D399E"/>
    <w:rsid w:val="72647073"/>
    <w:rsid w:val="72AF2871"/>
    <w:rsid w:val="7304346B"/>
    <w:rsid w:val="733459F1"/>
    <w:rsid w:val="7353264D"/>
    <w:rsid w:val="740A2F15"/>
    <w:rsid w:val="74481E01"/>
    <w:rsid w:val="746D5E72"/>
    <w:rsid w:val="746F7BAC"/>
    <w:rsid w:val="74A84019"/>
    <w:rsid w:val="74BD7DB7"/>
    <w:rsid w:val="75094EB9"/>
    <w:rsid w:val="7650603A"/>
    <w:rsid w:val="771C20D9"/>
    <w:rsid w:val="774F55FE"/>
    <w:rsid w:val="778B7C87"/>
    <w:rsid w:val="77DF57B6"/>
    <w:rsid w:val="77E33C32"/>
    <w:rsid w:val="77F17704"/>
    <w:rsid w:val="77FFE0B8"/>
    <w:rsid w:val="78DB2F4C"/>
    <w:rsid w:val="79AD2705"/>
    <w:rsid w:val="7B302F75"/>
    <w:rsid w:val="7B3F5183"/>
    <w:rsid w:val="7B3F644F"/>
    <w:rsid w:val="7B7F32D7"/>
    <w:rsid w:val="7BAE76E4"/>
    <w:rsid w:val="7BB030AB"/>
    <w:rsid w:val="7BF521E5"/>
    <w:rsid w:val="7C05552B"/>
    <w:rsid w:val="7C163DBC"/>
    <w:rsid w:val="7C2572F0"/>
    <w:rsid w:val="7C563E8F"/>
    <w:rsid w:val="7EBC783A"/>
    <w:rsid w:val="7EDF9A38"/>
    <w:rsid w:val="7F1A1E3E"/>
    <w:rsid w:val="7F4FE1BA"/>
    <w:rsid w:val="7F6D1EB6"/>
    <w:rsid w:val="7F707DA6"/>
    <w:rsid w:val="7F87737E"/>
    <w:rsid w:val="7FAFEAC6"/>
    <w:rsid w:val="7FEB1D0D"/>
    <w:rsid w:val="7FF6D1BB"/>
    <w:rsid w:val="8EF3CF1C"/>
    <w:rsid w:val="99FFBD3E"/>
    <w:rsid w:val="9D56162A"/>
    <w:rsid w:val="B631BF93"/>
    <w:rsid w:val="B6FCAD1C"/>
    <w:rsid w:val="BCADB791"/>
    <w:rsid w:val="DFBF0684"/>
    <w:rsid w:val="EAEF8F20"/>
    <w:rsid w:val="EF5C500A"/>
    <w:rsid w:val="F5FDD224"/>
    <w:rsid w:val="F79FE823"/>
    <w:rsid w:val="F9F3F273"/>
    <w:rsid w:val="FB78E8B8"/>
    <w:rsid w:val="FEEF9A7F"/>
    <w:rsid w:val="FEF782F1"/>
    <w:rsid w:val="FF5B26A0"/>
    <w:rsid w:val="FFBF235D"/>
    <w:rsid w:val="FFF7A9BC"/>
    <w:rsid w:val="FFFFE6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173"/>
    <w:qFormat/>
    <w:uiPriority w:val="0"/>
    <w:pPr>
      <w:keepNext/>
      <w:keepLines/>
      <w:spacing w:before="340" w:after="330" w:line="576" w:lineRule="auto"/>
      <w:outlineLvl w:val="0"/>
    </w:pPr>
    <w:rPr>
      <w:b/>
      <w:bCs/>
      <w:kern w:val="44"/>
      <w:sz w:val="44"/>
      <w:szCs w:val="44"/>
    </w:rPr>
  </w:style>
  <w:style w:type="paragraph" w:styleId="3">
    <w:name w:val="heading 2"/>
    <w:basedOn w:val="1"/>
    <w:next w:val="4"/>
    <w:qFormat/>
    <w:uiPriority w:val="0"/>
    <w:pPr>
      <w:keepNext/>
      <w:keepLines/>
      <w:adjustRightInd w:val="0"/>
      <w:snapToGrid w:val="0"/>
      <w:spacing w:line="360" w:lineRule="auto"/>
      <w:jc w:val="center"/>
      <w:outlineLvl w:val="1"/>
    </w:pPr>
    <w:rPr>
      <w:rFonts w:ascii="宋体" w:hAnsi="Arial" w:cs="宋体"/>
      <w:sz w:val="32"/>
    </w:rPr>
  </w:style>
  <w:style w:type="paragraph" w:styleId="5">
    <w:name w:val="heading 3"/>
    <w:basedOn w:val="1"/>
    <w:next w:val="4"/>
    <w:link w:val="60"/>
    <w:qFormat/>
    <w:uiPriority w:val="0"/>
    <w:pPr>
      <w:widowControl w:val="0"/>
      <w:tabs>
        <w:tab w:val="left" w:pos="851"/>
      </w:tabs>
      <w:autoSpaceDE w:val="0"/>
      <w:autoSpaceDN w:val="0"/>
      <w:adjustRightInd w:val="0"/>
      <w:snapToGrid w:val="0"/>
      <w:spacing w:line="360" w:lineRule="auto"/>
      <w:jc w:val="both"/>
      <w:outlineLvl w:val="2"/>
    </w:pPr>
    <w:rPr>
      <w:rFonts w:ascii="宋体"/>
    </w:rPr>
  </w:style>
  <w:style w:type="paragraph" w:styleId="6">
    <w:name w:val="heading 4"/>
    <w:basedOn w:val="1"/>
    <w:next w:val="4"/>
    <w:link w:val="57"/>
    <w:qFormat/>
    <w:uiPriority w:val="0"/>
    <w:pPr>
      <w:widowControl w:val="0"/>
      <w:autoSpaceDE w:val="0"/>
      <w:autoSpaceDN w:val="0"/>
      <w:adjustRightInd w:val="0"/>
      <w:snapToGrid w:val="0"/>
      <w:spacing w:line="360" w:lineRule="auto"/>
      <w:jc w:val="both"/>
      <w:outlineLvl w:val="3"/>
    </w:pPr>
    <w:rPr>
      <w:rFonts w:ascii="宋体" w:hAnsi="Arial"/>
      <w:color w:val="000000"/>
    </w:rPr>
  </w:style>
  <w:style w:type="paragraph" w:styleId="7">
    <w:name w:val="heading 5"/>
    <w:basedOn w:val="1"/>
    <w:next w:val="4"/>
    <w:qFormat/>
    <w:uiPriority w:val="0"/>
    <w:pPr>
      <w:keepNext/>
      <w:widowControl w:val="0"/>
      <w:autoSpaceDE w:val="0"/>
      <w:autoSpaceDN w:val="0"/>
      <w:adjustRightInd w:val="0"/>
      <w:snapToGrid w:val="0"/>
      <w:spacing w:before="280" w:after="290" w:line="374" w:lineRule="auto"/>
      <w:jc w:val="both"/>
      <w:outlineLvl w:val="4"/>
    </w:pPr>
    <w:rPr>
      <w:rFonts w:ascii="宋体" w:cs="宋体"/>
      <w:b/>
      <w:color w:val="000000"/>
      <w:sz w:val="28"/>
    </w:rPr>
  </w:style>
  <w:style w:type="paragraph" w:styleId="8">
    <w:name w:val="heading 6"/>
    <w:basedOn w:val="1"/>
    <w:next w:val="4"/>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4"/>
    <w:qFormat/>
    <w:uiPriority w:val="0"/>
    <w:pPr>
      <w:keepNext/>
      <w:widowControl w:val="0"/>
      <w:autoSpaceDE w:val="0"/>
      <w:autoSpaceDN w:val="0"/>
      <w:adjustRightInd w:val="0"/>
      <w:snapToGrid w:val="0"/>
      <w:spacing w:before="240" w:after="64" w:line="319" w:lineRule="auto"/>
      <w:jc w:val="both"/>
      <w:outlineLvl w:val="6"/>
    </w:pPr>
    <w:rPr>
      <w:rFonts w:ascii="宋体"/>
      <w:b/>
      <w:color w:val="000000"/>
      <w:sz w:val="24"/>
    </w:rPr>
  </w:style>
  <w:style w:type="paragraph" w:styleId="10">
    <w:name w:val="heading 8"/>
    <w:basedOn w:val="1"/>
    <w:next w:val="4"/>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4"/>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ind w:firstLine="420"/>
    </w:pPr>
  </w:style>
  <w:style w:type="paragraph" w:styleId="12">
    <w:name w:val="toc 7"/>
    <w:basedOn w:val="1"/>
    <w:next w:val="1"/>
    <w:unhideWhenUsed/>
    <w:qFormat/>
    <w:uiPriority w:val="0"/>
    <w:pPr>
      <w:widowControl w:val="0"/>
      <w:ind w:left="2520" w:leftChars="1200"/>
      <w:jc w:val="both"/>
    </w:pPr>
    <w:rPr>
      <w:rFonts w:ascii="Calibri" w:hAnsi="Calibri"/>
      <w:kern w:val="2"/>
      <w:szCs w:val="22"/>
    </w:rPr>
  </w:style>
  <w:style w:type="paragraph" w:styleId="13">
    <w:name w:val="Document Map"/>
    <w:basedOn w:val="1"/>
    <w:link w:val="56"/>
    <w:qFormat/>
    <w:uiPriority w:val="0"/>
    <w:rPr>
      <w:rFonts w:ascii="宋体"/>
      <w:sz w:val="18"/>
      <w:szCs w:val="18"/>
    </w:rPr>
  </w:style>
  <w:style w:type="paragraph" w:styleId="14">
    <w:name w:val="annotation text"/>
    <w:basedOn w:val="1"/>
    <w:link w:val="55"/>
    <w:qFormat/>
    <w:uiPriority w:val="99"/>
    <w:pPr>
      <w:widowControl w:val="0"/>
    </w:pPr>
  </w:style>
  <w:style w:type="paragraph" w:styleId="15">
    <w:name w:val="Body Text 3"/>
    <w:basedOn w:val="1"/>
    <w:link w:val="48"/>
    <w:qFormat/>
    <w:uiPriority w:val="0"/>
    <w:pPr>
      <w:spacing w:after="120"/>
    </w:pPr>
    <w:rPr>
      <w:sz w:val="16"/>
      <w:szCs w:val="16"/>
    </w:rPr>
  </w:style>
  <w:style w:type="paragraph" w:styleId="16">
    <w:name w:val="Body Text"/>
    <w:basedOn w:val="1"/>
    <w:next w:val="1"/>
    <w:qFormat/>
    <w:uiPriority w:val="0"/>
    <w:pPr>
      <w:spacing w:after="120"/>
    </w:pPr>
  </w:style>
  <w:style w:type="paragraph" w:styleId="17">
    <w:name w:val="Body Text Indent"/>
    <w:basedOn w:val="1"/>
    <w:qFormat/>
    <w:uiPriority w:val="0"/>
    <w:pPr>
      <w:spacing w:after="120"/>
      <w:ind w:left="420" w:leftChars="200"/>
    </w:pPr>
  </w:style>
  <w:style w:type="paragraph" w:styleId="18">
    <w:name w:val="toc 5"/>
    <w:basedOn w:val="1"/>
    <w:next w:val="1"/>
    <w:unhideWhenUsed/>
    <w:qFormat/>
    <w:uiPriority w:val="0"/>
    <w:pPr>
      <w:widowControl w:val="0"/>
      <w:ind w:left="1680" w:leftChars="800"/>
      <w:jc w:val="both"/>
    </w:pPr>
    <w:rPr>
      <w:rFonts w:ascii="Calibri" w:hAnsi="Calibri"/>
      <w:kern w:val="2"/>
      <w:szCs w:val="22"/>
    </w:rPr>
  </w:style>
  <w:style w:type="paragraph" w:styleId="19">
    <w:name w:val="toc 3"/>
    <w:basedOn w:val="1"/>
    <w:next w:val="1"/>
    <w:qFormat/>
    <w:uiPriority w:val="0"/>
    <w:pPr>
      <w:ind w:left="840" w:leftChars="400"/>
    </w:pPr>
  </w:style>
  <w:style w:type="paragraph" w:styleId="20">
    <w:name w:val="Plain Text"/>
    <w:basedOn w:val="1"/>
    <w:link w:val="52"/>
    <w:qFormat/>
    <w:uiPriority w:val="0"/>
    <w:rPr>
      <w:rFonts w:ascii="宋体" w:hAnsi="Courier New"/>
      <w:szCs w:val="21"/>
    </w:rPr>
  </w:style>
  <w:style w:type="paragraph" w:styleId="21">
    <w:name w:val="toc 8"/>
    <w:basedOn w:val="1"/>
    <w:next w:val="1"/>
    <w:unhideWhenUsed/>
    <w:qFormat/>
    <w:uiPriority w:val="0"/>
    <w:pPr>
      <w:widowControl w:val="0"/>
      <w:ind w:left="2940" w:leftChars="1400"/>
      <w:jc w:val="both"/>
    </w:pPr>
    <w:rPr>
      <w:rFonts w:ascii="Calibri" w:hAnsi="Calibri"/>
      <w:kern w:val="2"/>
      <w:szCs w:val="22"/>
    </w:rPr>
  </w:style>
  <w:style w:type="paragraph" w:styleId="22">
    <w:name w:val="Date"/>
    <w:basedOn w:val="1"/>
    <w:next w:val="1"/>
    <w:qFormat/>
    <w:uiPriority w:val="0"/>
    <w:pPr>
      <w:widowControl w:val="0"/>
      <w:jc w:val="both"/>
    </w:pPr>
    <w:rPr>
      <w:rFonts w:ascii="楷体_GB2312" w:eastAsia="楷体_GB2312"/>
      <w:kern w:val="2"/>
      <w:sz w:val="28"/>
    </w:rPr>
  </w:style>
  <w:style w:type="paragraph" w:styleId="23">
    <w:name w:val="Body Text Indent 2"/>
    <w:basedOn w:val="1"/>
    <w:qFormat/>
    <w:uiPriority w:val="0"/>
    <w:pPr>
      <w:spacing w:after="120" w:line="480" w:lineRule="auto"/>
      <w:ind w:left="420" w:leftChars="200"/>
    </w:pPr>
  </w:style>
  <w:style w:type="paragraph" w:styleId="24">
    <w:name w:val="Balloon Text"/>
    <w:basedOn w:val="1"/>
    <w:link w:val="58"/>
    <w:qFormat/>
    <w:uiPriority w:val="0"/>
    <w:rPr>
      <w:sz w:val="18"/>
      <w:szCs w:val="18"/>
    </w:rPr>
  </w:style>
  <w:style w:type="paragraph" w:styleId="25">
    <w:name w:val="footer"/>
    <w:basedOn w:val="1"/>
    <w:link w:val="53"/>
    <w:qFormat/>
    <w:uiPriority w:val="99"/>
    <w:pPr>
      <w:tabs>
        <w:tab w:val="center" w:pos="4153"/>
        <w:tab w:val="right" w:pos="8306"/>
      </w:tabs>
      <w:snapToGrid w:val="0"/>
    </w:pPr>
    <w:rPr>
      <w:sz w:val="18"/>
    </w:rPr>
  </w:style>
  <w:style w:type="paragraph" w:styleId="26">
    <w:name w:val="header"/>
    <w:basedOn w:val="1"/>
    <w:link w:val="51"/>
    <w:qFormat/>
    <w:uiPriority w:val="99"/>
    <w:pPr>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39"/>
    <w:pPr>
      <w:spacing w:line="360" w:lineRule="auto"/>
      <w:ind w:left="824" w:hanging="824"/>
    </w:pPr>
    <w:rPr>
      <w:rFonts w:ascii="宋体"/>
    </w:rPr>
  </w:style>
  <w:style w:type="paragraph" w:styleId="28">
    <w:name w:val="toc 4"/>
    <w:basedOn w:val="1"/>
    <w:next w:val="1"/>
    <w:unhideWhenUsed/>
    <w:qFormat/>
    <w:uiPriority w:val="0"/>
    <w:pPr>
      <w:widowControl w:val="0"/>
      <w:ind w:left="1260" w:leftChars="600"/>
      <w:jc w:val="both"/>
    </w:pPr>
    <w:rPr>
      <w:rFonts w:ascii="Calibri" w:hAnsi="Calibri"/>
      <w:kern w:val="2"/>
      <w:szCs w:val="22"/>
    </w:rPr>
  </w:style>
  <w:style w:type="paragraph" w:styleId="29">
    <w:name w:val="toc 6"/>
    <w:basedOn w:val="1"/>
    <w:next w:val="1"/>
    <w:unhideWhenUsed/>
    <w:qFormat/>
    <w:uiPriority w:val="0"/>
    <w:pPr>
      <w:widowControl w:val="0"/>
      <w:ind w:left="2100" w:leftChars="1000"/>
      <w:jc w:val="both"/>
    </w:pPr>
    <w:rPr>
      <w:rFonts w:ascii="Calibri" w:hAnsi="Calibri"/>
      <w:kern w:val="2"/>
      <w:szCs w:val="22"/>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tabs>
        <w:tab w:val="right" w:leader="dot" w:pos="9402"/>
      </w:tabs>
      <w:spacing w:line="360" w:lineRule="auto"/>
      <w:ind w:left="993" w:leftChars="202" w:hanging="569" w:hangingChars="237"/>
    </w:pPr>
  </w:style>
  <w:style w:type="paragraph" w:styleId="32">
    <w:name w:val="toc 9"/>
    <w:basedOn w:val="1"/>
    <w:next w:val="1"/>
    <w:unhideWhenUsed/>
    <w:qFormat/>
    <w:uiPriority w:val="0"/>
    <w:pPr>
      <w:widowControl w:val="0"/>
      <w:ind w:left="3360" w:leftChars="1600"/>
      <w:jc w:val="both"/>
    </w:pPr>
    <w:rPr>
      <w:rFonts w:ascii="Calibri" w:hAnsi="Calibri"/>
      <w:kern w:val="2"/>
      <w:szCs w:val="22"/>
    </w:rPr>
  </w:style>
  <w:style w:type="paragraph" w:styleId="33">
    <w:name w:val="Body Text 2"/>
    <w:basedOn w:val="1"/>
    <w:qFormat/>
    <w:uiPriority w:val="0"/>
    <w:pPr>
      <w:spacing w:after="120" w:line="480" w:lineRule="auto"/>
    </w:pPr>
  </w:style>
  <w:style w:type="paragraph" w:styleId="34">
    <w:name w:val="HTML Preformatted"/>
    <w:basedOn w:val="1"/>
    <w:qFormat/>
    <w:uiPriority w:val="0"/>
    <w:rPr>
      <w:rFonts w:ascii="黑体" w:hAnsi="Courier New" w:eastAsia="黑体" w:cs="Courier New"/>
      <w:sz w:val="20"/>
      <w:szCs w:val="21"/>
    </w:rPr>
  </w:style>
  <w:style w:type="paragraph" w:styleId="35">
    <w:name w:val="Normal (Web)"/>
    <w:basedOn w:val="1"/>
    <w:qFormat/>
    <w:uiPriority w:val="99"/>
    <w:pPr>
      <w:spacing w:before="100" w:beforeAutospacing="1" w:after="100" w:afterAutospacing="1"/>
    </w:pPr>
    <w:rPr>
      <w:rFonts w:ascii="宋体" w:hAnsi="宋体" w:cs="宋体"/>
      <w:sz w:val="24"/>
      <w:szCs w:val="24"/>
    </w:rPr>
  </w:style>
  <w:style w:type="paragraph" w:styleId="36">
    <w:name w:val="annotation subject"/>
    <w:basedOn w:val="14"/>
    <w:next w:val="14"/>
    <w:link w:val="54"/>
    <w:qFormat/>
    <w:uiPriority w:val="0"/>
    <w:pPr>
      <w:widowControl/>
    </w:pPr>
    <w:rPr>
      <w:b/>
      <w:bCs/>
      <w:kern w:val="2"/>
      <w:szCs w:val="24"/>
    </w:rPr>
  </w:style>
  <w:style w:type="paragraph" w:styleId="37">
    <w:name w:val="Body Text First Indent"/>
    <w:basedOn w:val="16"/>
    <w:qFormat/>
    <w:uiPriority w:val="0"/>
    <w:pPr>
      <w:widowControl w:val="0"/>
      <w:spacing w:line="312" w:lineRule="auto"/>
      <w:ind w:firstLine="420"/>
      <w:jc w:val="both"/>
    </w:pPr>
    <w:rPr>
      <w:rFonts w:ascii="Calibri" w:hAnsi="Calibri"/>
      <w:kern w:val="2"/>
      <w:szCs w:val="24"/>
    </w:rPr>
  </w:style>
  <w:style w:type="table" w:styleId="39">
    <w:name w:val="Table Grid"/>
    <w:basedOn w:val="3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qFormat/>
    <w:uiPriority w:val="0"/>
  </w:style>
  <w:style w:type="character" w:styleId="43">
    <w:name w:val="Hyperlink"/>
    <w:qFormat/>
    <w:uiPriority w:val="99"/>
    <w:rPr>
      <w:color w:val="0000FF"/>
      <w:u w:val="single"/>
    </w:rPr>
  </w:style>
  <w:style w:type="character" w:styleId="44">
    <w:name w:val="annotation reference"/>
    <w:qFormat/>
    <w:uiPriority w:val="99"/>
    <w:rPr>
      <w:sz w:val="21"/>
      <w:szCs w:val="21"/>
    </w:rPr>
  </w:style>
  <w:style w:type="character" w:customStyle="1" w:styleId="45">
    <w:name w:val="访问过的超链接1"/>
    <w:qFormat/>
    <w:uiPriority w:val="99"/>
    <w:rPr>
      <w:color w:val="800080"/>
      <w:u w:val="single"/>
    </w:rPr>
  </w:style>
  <w:style w:type="character" w:customStyle="1" w:styleId="46">
    <w:name w:val="wf1"/>
    <w:qFormat/>
    <w:uiPriority w:val="0"/>
    <w:rPr>
      <w:rFonts w:hint="eastAsia" w:ascii="宋体" w:hAnsi="宋体" w:eastAsia="宋体"/>
      <w:sz w:val="24"/>
      <w:szCs w:val="24"/>
    </w:rPr>
  </w:style>
  <w:style w:type="character" w:customStyle="1" w:styleId="47">
    <w:name w:val="正文缩进 Char"/>
    <w:link w:val="4"/>
    <w:qFormat/>
    <w:uiPriority w:val="0"/>
    <w:rPr>
      <w:rFonts w:eastAsia="宋体"/>
      <w:sz w:val="21"/>
      <w:lang w:val="en-US" w:eastAsia="zh-CN" w:bidi="ar-SA"/>
    </w:rPr>
  </w:style>
  <w:style w:type="character" w:customStyle="1" w:styleId="48">
    <w:name w:val="正文文本 3 Char"/>
    <w:link w:val="15"/>
    <w:qFormat/>
    <w:uiPriority w:val="0"/>
    <w:rPr>
      <w:sz w:val="16"/>
      <w:szCs w:val="16"/>
    </w:rPr>
  </w:style>
  <w:style w:type="character" w:customStyle="1" w:styleId="49">
    <w:name w:val="批注文字 Char"/>
    <w:qFormat/>
    <w:uiPriority w:val="0"/>
    <w:rPr>
      <w:kern w:val="2"/>
      <w:sz w:val="21"/>
      <w:szCs w:val="24"/>
    </w:rPr>
  </w:style>
  <w:style w:type="character" w:customStyle="1" w:styleId="50">
    <w:name w:val="16"/>
    <w:qFormat/>
    <w:uiPriority w:val="0"/>
    <w:rPr>
      <w:szCs w:val="24"/>
    </w:rPr>
  </w:style>
  <w:style w:type="character" w:customStyle="1" w:styleId="51">
    <w:name w:val="页眉 Char"/>
    <w:link w:val="26"/>
    <w:qFormat/>
    <w:uiPriority w:val="99"/>
    <w:rPr>
      <w:sz w:val="18"/>
    </w:rPr>
  </w:style>
  <w:style w:type="character" w:customStyle="1" w:styleId="52">
    <w:name w:val="纯文本 Char"/>
    <w:link w:val="20"/>
    <w:qFormat/>
    <w:locked/>
    <w:uiPriority w:val="0"/>
    <w:rPr>
      <w:rFonts w:ascii="宋体" w:hAnsi="Courier New" w:cs="Courier New"/>
      <w:sz w:val="21"/>
      <w:szCs w:val="21"/>
    </w:rPr>
  </w:style>
  <w:style w:type="character" w:customStyle="1" w:styleId="53">
    <w:name w:val="页脚 Char"/>
    <w:link w:val="25"/>
    <w:qFormat/>
    <w:uiPriority w:val="99"/>
    <w:rPr>
      <w:sz w:val="18"/>
    </w:rPr>
  </w:style>
  <w:style w:type="character" w:customStyle="1" w:styleId="54">
    <w:name w:val="批注主题 Char1"/>
    <w:link w:val="36"/>
    <w:qFormat/>
    <w:uiPriority w:val="0"/>
    <w:rPr>
      <w:b/>
      <w:bCs/>
      <w:kern w:val="2"/>
      <w:sz w:val="21"/>
      <w:szCs w:val="24"/>
    </w:rPr>
  </w:style>
  <w:style w:type="character" w:customStyle="1" w:styleId="55">
    <w:name w:val="批注文字 Char1"/>
    <w:link w:val="14"/>
    <w:qFormat/>
    <w:uiPriority w:val="99"/>
    <w:rPr>
      <w:sz w:val="21"/>
    </w:rPr>
  </w:style>
  <w:style w:type="character" w:customStyle="1" w:styleId="56">
    <w:name w:val="文档结构图 Char"/>
    <w:link w:val="13"/>
    <w:qFormat/>
    <w:uiPriority w:val="0"/>
    <w:rPr>
      <w:rFonts w:ascii="宋体"/>
      <w:sz w:val="18"/>
      <w:szCs w:val="18"/>
    </w:rPr>
  </w:style>
  <w:style w:type="character" w:customStyle="1" w:styleId="57">
    <w:name w:val="标题 4 Char"/>
    <w:link w:val="6"/>
    <w:qFormat/>
    <w:uiPriority w:val="0"/>
    <w:rPr>
      <w:rFonts w:ascii="宋体" w:hAnsi="Arial" w:cs="宋体"/>
      <w:color w:val="000000"/>
      <w:sz w:val="21"/>
    </w:rPr>
  </w:style>
  <w:style w:type="character" w:customStyle="1" w:styleId="58">
    <w:name w:val="批注框文本 Char"/>
    <w:link w:val="24"/>
    <w:qFormat/>
    <w:uiPriority w:val="0"/>
    <w:rPr>
      <w:rFonts w:eastAsia="宋体"/>
      <w:sz w:val="18"/>
      <w:szCs w:val="18"/>
      <w:lang w:val="en-US" w:eastAsia="zh-CN" w:bidi="ar-SA"/>
    </w:rPr>
  </w:style>
  <w:style w:type="character" w:customStyle="1" w:styleId="59">
    <w:name w:val="ll1"/>
    <w:qFormat/>
    <w:uiPriority w:val="0"/>
    <w:rPr>
      <w:spacing w:val="31680"/>
    </w:rPr>
  </w:style>
  <w:style w:type="character" w:customStyle="1" w:styleId="60">
    <w:name w:val="标题 3 Char1"/>
    <w:link w:val="5"/>
    <w:qFormat/>
    <w:uiPriority w:val="0"/>
    <w:rPr>
      <w:rFonts w:ascii="宋体" w:cs="宋体"/>
      <w:sz w:val="21"/>
    </w:rPr>
  </w:style>
  <w:style w:type="character" w:customStyle="1" w:styleId="61">
    <w:name w:val="p141"/>
    <w:qFormat/>
    <w:uiPriority w:val="0"/>
    <w:rPr>
      <w:sz w:val="21"/>
      <w:szCs w:val="21"/>
    </w:rPr>
  </w:style>
  <w:style w:type="paragraph" w:customStyle="1" w:styleId="62">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63">
    <w:name w:val="列出段落1"/>
    <w:basedOn w:val="1"/>
    <w:qFormat/>
    <w:uiPriority w:val="34"/>
    <w:pPr>
      <w:ind w:firstLine="420" w:firstLineChars="200"/>
    </w:pPr>
  </w:style>
  <w:style w:type="paragraph" w:customStyle="1" w:styleId="64">
    <w:name w:val="TOC 标题1"/>
    <w:basedOn w:val="2"/>
    <w:next w:val="1"/>
    <w:qFormat/>
    <w:uiPriority w:val="0"/>
    <w:pPr>
      <w:spacing w:before="480" w:after="0" w:line="276" w:lineRule="auto"/>
      <w:outlineLvl w:val="9"/>
    </w:pPr>
    <w:rPr>
      <w:rFonts w:ascii="Cambria" w:hAnsi="Cambria"/>
      <w:color w:val="365F91"/>
      <w:kern w:val="0"/>
      <w:sz w:val="28"/>
      <w:szCs w:val="28"/>
    </w:rPr>
  </w:style>
  <w:style w:type="paragraph" w:customStyle="1" w:styleId="65">
    <w:name w:val="Char Char Char Char Char Char"/>
    <w:basedOn w:val="1"/>
    <w:qFormat/>
    <w:uiPriority w:val="0"/>
    <w:rPr>
      <w:szCs w:val="24"/>
    </w:rPr>
  </w:style>
  <w:style w:type="paragraph" w:customStyle="1" w:styleId="66">
    <w:name w:val="Char12"/>
    <w:basedOn w:val="1"/>
    <w:qFormat/>
    <w:uiPriority w:val="0"/>
    <w:pPr>
      <w:widowControl w:val="0"/>
      <w:jc w:val="both"/>
    </w:pPr>
    <w:rPr>
      <w:kern w:val="2"/>
    </w:rPr>
  </w:style>
  <w:style w:type="paragraph" w:customStyle="1" w:styleId="67">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68">
    <w:name w:val="需求书2"/>
    <w:basedOn w:val="1"/>
    <w:qFormat/>
    <w:uiPriority w:val="0"/>
    <w:pPr>
      <w:widowControl w:val="0"/>
      <w:jc w:val="both"/>
    </w:pPr>
    <w:rPr>
      <w:rFonts w:ascii="宋体" w:hAnsi="宋体"/>
      <w:b/>
      <w:spacing w:val="10"/>
      <w:kern w:val="2"/>
      <w:sz w:val="24"/>
      <w:szCs w:val="24"/>
    </w:rPr>
  </w:style>
  <w:style w:type="paragraph" w:customStyle="1" w:styleId="69">
    <w:name w:val="Char Char Char Char Char1 Char"/>
    <w:basedOn w:val="1"/>
    <w:qFormat/>
    <w:uiPriority w:val="0"/>
    <w:pPr>
      <w:widowControl w:val="0"/>
      <w:jc w:val="both"/>
    </w:pPr>
    <w:rPr>
      <w:rFonts w:ascii="Tahoma" w:hAnsi="Tahoma"/>
      <w:kern w:val="2"/>
      <w:sz w:val="24"/>
    </w:rPr>
  </w:style>
  <w:style w:type="paragraph" w:customStyle="1" w:styleId="70">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71">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72">
    <w:name w:val="正文_13"/>
    <w:qFormat/>
    <w:uiPriority w:val="0"/>
    <w:rPr>
      <w:rFonts w:ascii="Times New Roman" w:hAnsi="Times New Roman" w:eastAsia="宋体" w:cs="Times New Roman"/>
      <w:sz w:val="21"/>
      <w:lang w:val="en-US" w:eastAsia="zh-CN" w:bidi="ar-SA"/>
    </w:rPr>
  </w:style>
  <w:style w:type="paragraph" w:customStyle="1" w:styleId="73">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74">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75">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76">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77">
    <w:name w:val="font7"/>
    <w:basedOn w:val="1"/>
    <w:qFormat/>
    <w:uiPriority w:val="0"/>
    <w:pPr>
      <w:spacing w:before="100" w:beforeAutospacing="1" w:after="100" w:afterAutospacing="1"/>
    </w:pPr>
    <w:rPr>
      <w:rFonts w:ascii="宋体" w:hAnsi="宋体" w:cs="宋体"/>
      <w:b/>
      <w:bCs/>
      <w:sz w:val="36"/>
      <w:szCs w:val="36"/>
    </w:rPr>
  </w:style>
  <w:style w:type="paragraph" w:customStyle="1" w:styleId="78">
    <w:name w:val="f12"/>
    <w:basedOn w:val="1"/>
    <w:qFormat/>
    <w:uiPriority w:val="0"/>
    <w:pPr>
      <w:spacing w:before="100" w:beforeAutospacing="1" w:after="100" w:afterAutospacing="1"/>
    </w:pPr>
    <w:rPr>
      <w:rFonts w:ascii="_GB2312" w:hAnsi="_GB2312"/>
      <w:color w:val="000000"/>
      <w:szCs w:val="21"/>
    </w:rPr>
  </w:style>
  <w:style w:type="paragraph" w:customStyle="1" w:styleId="79">
    <w:name w:val="Char Char Char Char Char Char Char Char Char Char2"/>
    <w:basedOn w:val="1"/>
    <w:qFormat/>
    <w:uiPriority w:val="0"/>
    <w:pPr>
      <w:widowControl w:val="0"/>
      <w:jc w:val="both"/>
    </w:pPr>
    <w:rPr>
      <w:rFonts w:ascii="Tahoma" w:hAnsi="Tahoma"/>
      <w:kern w:val="2"/>
      <w:sz w:val="24"/>
    </w:rPr>
  </w:style>
  <w:style w:type="paragraph" w:customStyle="1" w:styleId="80">
    <w:name w:val="Char2"/>
    <w:basedOn w:val="1"/>
    <w:qFormat/>
    <w:uiPriority w:val="0"/>
    <w:pPr>
      <w:widowControl w:val="0"/>
      <w:jc w:val="both"/>
    </w:pPr>
    <w:rPr>
      <w:rFonts w:ascii="Tahoma" w:hAnsi="Tahoma"/>
      <w:kern w:val="2"/>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82">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83">
    <w:name w:val="Char1"/>
    <w:basedOn w:val="1"/>
    <w:qFormat/>
    <w:uiPriority w:val="0"/>
    <w:pPr>
      <w:widowControl w:val="0"/>
      <w:jc w:val="both"/>
    </w:pPr>
    <w:rPr>
      <w:kern w:val="2"/>
    </w:rPr>
  </w:style>
  <w:style w:type="paragraph" w:customStyle="1" w:styleId="84">
    <w:name w:val="样式1"/>
    <w:basedOn w:val="3"/>
    <w:qFormat/>
    <w:uiPriority w:val="0"/>
    <w:pPr>
      <w:tabs>
        <w:tab w:val="left" w:pos="420"/>
      </w:tabs>
      <w:ind w:left="420" w:hanging="420"/>
    </w:pPr>
    <w:rPr>
      <w:rFonts w:cs="Times New Roman"/>
      <w:b/>
    </w:rPr>
  </w:style>
  <w:style w:type="paragraph" w:customStyle="1" w:styleId="85">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c03"/>
    <w:basedOn w:val="1"/>
    <w:qFormat/>
    <w:uiPriority w:val="0"/>
    <w:pPr>
      <w:spacing w:before="100" w:beforeAutospacing="1" w:after="100" w:afterAutospacing="1"/>
    </w:pPr>
    <w:rPr>
      <w:rFonts w:ascii="宋体" w:hAnsi="宋体"/>
      <w:color w:val="000000"/>
      <w:sz w:val="24"/>
      <w:szCs w:val="24"/>
    </w:rPr>
  </w:style>
  <w:style w:type="paragraph" w:customStyle="1" w:styleId="87">
    <w:name w:val="Char Char1 Char Char Char Char Char Char Char Char Char Char1"/>
    <w:basedOn w:val="1"/>
    <w:qFormat/>
    <w:uiPriority w:val="0"/>
    <w:pPr>
      <w:widowControl w:val="0"/>
      <w:jc w:val="both"/>
    </w:pPr>
    <w:rPr>
      <w:rFonts w:ascii="Tahoma" w:hAnsi="Tahoma"/>
      <w:kern w:val="2"/>
      <w:sz w:val="24"/>
    </w:rPr>
  </w:style>
  <w:style w:type="paragraph" w:customStyle="1" w:styleId="88">
    <w:name w:val="Char Char Char Char"/>
    <w:basedOn w:val="1"/>
    <w:qFormat/>
    <w:uiPriority w:val="0"/>
    <w:pPr>
      <w:tabs>
        <w:tab w:val="left" w:pos="965"/>
      </w:tabs>
      <w:spacing w:after="160" w:line="240" w:lineRule="exact"/>
      <w:ind w:left="965" w:hanging="425"/>
    </w:pPr>
    <w:rPr>
      <w:rFonts w:ascii="Verdana" w:hAnsi="Verdana"/>
      <w:lang w:eastAsia="en-US"/>
    </w:rPr>
  </w:style>
  <w:style w:type="paragraph" w:customStyle="1" w:styleId="89">
    <w:name w:val="Char Char Char Char Char Char Char Char Char Char"/>
    <w:basedOn w:val="1"/>
    <w:qFormat/>
    <w:uiPriority w:val="0"/>
    <w:pPr>
      <w:widowControl w:val="0"/>
      <w:jc w:val="both"/>
    </w:pPr>
    <w:rPr>
      <w:rFonts w:ascii="Tahoma" w:hAnsi="Tahoma"/>
      <w:kern w:val="2"/>
      <w:sz w:val="24"/>
    </w:rPr>
  </w:style>
  <w:style w:type="paragraph" w:customStyle="1" w:styleId="90">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1">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92">
    <w:name w:val="f12pt1"/>
    <w:basedOn w:val="1"/>
    <w:qFormat/>
    <w:uiPriority w:val="0"/>
    <w:pPr>
      <w:spacing w:before="100" w:beforeAutospacing="1" w:after="100" w:afterAutospacing="1"/>
    </w:pPr>
    <w:rPr>
      <w:rFonts w:ascii="_GB2312" w:hAnsi="_GB2312"/>
      <w:color w:val="000000"/>
      <w:szCs w:val="21"/>
    </w:rPr>
  </w:style>
  <w:style w:type="paragraph" w:customStyle="1" w:styleId="93">
    <w:name w:val="font8"/>
    <w:basedOn w:val="1"/>
    <w:qFormat/>
    <w:uiPriority w:val="0"/>
    <w:pPr>
      <w:spacing w:before="100" w:beforeAutospacing="1" w:after="100" w:afterAutospacing="1"/>
    </w:pPr>
    <w:rPr>
      <w:b/>
      <w:bCs/>
      <w:sz w:val="36"/>
      <w:szCs w:val="36"/>
    </w:rPr>
  </w:style>
  <w:style w:type="paragraph" w:customStyle="1" w:styleId="94">
    <w:name w:val="font6"/>
    <w:basedOn w:val="1"/>
    <w:qFormat/>
    <w:uiPriority w:val="0"/>
    <w:pPr>
      <w:spacing w:before="100" w:beforeAutospacing="1" w:after="100" w:afterAutospacing="1"/>
    </w:pPr>
    <w:rPr>
      <w:sz w:val="24"/>
      <w:szCs w:val="24"/>
    </w:rPr>
  </w:style>
  <w:style w:type="paragraph" w:customStyle="1" w:styleId="95">
    <w:name w:val="xl25"/>
    <w:basedOn w:val="1"/>
    <w:qFormat/>
    <w:uiPriority w:val="0"/>
    <w:pPr>
      <w:spacing w:before="100" w:beforeAutospacing="1" w:after="100" w:afterAutospacing="1"/>
      <w:jc w:val="right"/>
    </w:pPr>
    <w:rPr>
      <w:sz w:val="24"/>
      <w:szCs w:val="24"/>
    </w:rPr>
  </w:style>
  <w:style w:type="paragraph" w:customStyle="1" w:styleId="96">
    <w:name w:val="p0"/>
    <w:basedOn w:val="1"/>
    <w:qFormat/>
    <w:uiPriority w:val="0"/>
    <w:pPr>
      <w:jc w:val="both"/>
    </w:pPr>
    <w:rPr>
      <w:szCs w:val="21"/>
    </w:rPr>
  </w:style>
  <w:style w:type="paragraph" w:customStyle="1" w:styleId="97">
    <w:name w:val="1"/>
    <w:basedOn w:val="1"/>
    <w:next w:val="20"/>
    <w:qFormat/>
    <w:uiPriority w:val="0"/>
    <w:pPr>
      <w:widowControl w:val="0"/>
      <w:jc w:val="both"/>
    </w:pPr>
    <w:rPr>
      <w:rFonts w:ascii="宋体" w:hAnsi="Courier New"/>
      <w:kern w:val="2"/>
    </w:rPr>
  </w:style>
  <w:style w:type="paragraph" w:customStyle="1" w:styleId="98">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99">
    <w:name w:val="Char11"/>
    <w:basedOn w:val="1"/>
    <w:qFormat/>
    <w:uiPriority w:val="0"/>
    <w:pPr>
      <w:widowControl w:val="0"/>
      <w:jc w:val="both"/>
    </w:pPr>
    <w:rPr>
      <w:rFonts w:ascii="Tahoma" w:hAnsi="Tahoma"/>
      <w:kern w:val="2"/>
      <w:sz w:val="24"/>
    </w:rPr>
  </w:style>
  <w:style w:type="paragraph" w:customStyle="1" w:styleId="100">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01">
    <w:name w:val="Char"/>
    <w:basedOn w:val="1"/>
    <w:qFormat/>
    <w:uiPriority w:val="0"/>
    <w:pPr>
      <w:spacing w:after="160" w:line="240" w:lineRule="exact"/>
    </w:pPr>
    <w:rPr>
      <w:rFonts w:ascii="Verdana" w:hAnsi="Verdana"/>
      <w:lang w:eastAsia="en-US"/>
    </w:rPr>
  </w:style>
  <w:style w:type="paragraph" w:customStyle="1" w:styleId="102">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3">
    <w:name w:val="Char Char Char Char Char1 Char1"/>
    <w:basedOn w:val="1"/>
    <w:qFormat/>
    <w:uiPriority w:val="0"/>
    <w:pPr>
      <w:widowControl w:val="0"/>
      <w:jc w:val="both"/>
    </w:pPr>
    <w:rPr>
      <w:rFonts w:ascii="Tahoma" w:hAnsi="Tahoma"/>
      <w:kern w:val="2"/>
      <w:sz w:val="24"/>
    </w:rPr>
  </w:style>
  <w:style w:type="paragraph" w:customStyle="1" w:styleId="104">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105">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06">
    <w:name w:val="f14"/>
    <w:basedOn w:val="1"/>
    <w:qFormat/>
    <w:uiPriority w:val="0"/>
    <w:pPr>
      <w:spacing w:before="100" w:beforeAutospacing="1" w:after="100" w:afterAutospacing="1"/>
    </w:pPr>
    <w:rPr>
      <w:rFonts w:ascii="_GB2312" w:hAnsi="_GB2312"/>
      <w:color w:val="000000"/>
      <w:sz w:val="28"/>
      <w:szCs w:val="28"/>
    </w:rPr>
  </w:style>
  <w:style w:type="paragraph" w:customStyle="1" w:styleId="107">
    <w:name w:val="修订1"/>
    <w:semiHidden/>
    <w:qFormat/>
    <w:uiPriority w:val="99"/>
    <w:rPr>
      <w:rFonts w:ascii="Times New Roman" w:hAnsi="Times New Roman" w:eastAsia="宋体" w:cs="Times New Roman"/>
      <w:sz w:val="21"/>
      <w:lang w:val="en-US" w:eastAsia="zh-CN" w:bidi="ar-SA"/>
    </w:rPr>
  </w:style>
  <w:style w:type="paragraph" w:customStyle="1" w:styleId="108">
    <w:name w:val="Char Char1 Char Char Char Char Char Char Char Char Char Char2"/>
    <w:basedOn w:val="1"/>
    <w:qFormat/>
    <w:uiPriority w:val="0"/>
    <w:pPr>
      <w:widowControl w:val="0"/>
      <w:jc w:val="both"/>
    </w:pPr>
    <w:rPr>
      <w:rFonts w:ascii="Tahoma" w:hAnsi="Tahoma"/>
      <w:kern w:val="2"/>
      <w:sz w:val="24"/>
    </w:rPr>
  </w:style>
  <w:style w:type="paragraph" w:customStyle="1" w:styleId="109">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110">
    <w:name w:val="Char Char Char Char Char Char Char Char Char Char1"/>
    <w:basedOn w:val="1"/>
    <w:qFormat/>
    <w:uiPriority w:val="0"/>
    <w:pPr>
      <w:widowControl w:val="0"/>
      <w:jc w:val="both"/>
    </w:pPr>
    <w:rPr>
      <w:rFonts w:ascii="Tahoma" w:hAnsi="Tahoma"/>
      <w:kern w:val="2"/>
      <w:sz w:val="24"/>
    </w:rPr>
  </w:style>
  <w:style w:type="paragraph" w:customStyle="1" w:styleId="111">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12">
    <w:name w:val="Char Char1 Char Char Char Char Char Char Char Char Char Char"/>
    <w:basedOn w:val="1"/>
    <w:qFormat/>
    <w:uiPriority w:val="0"/>
    <w:pPr>
      <w:widowControl w:val="0"/>
      <w:jc w:val="both"/>
    </w:pPr>
    <w:rPr>
      <w:rFonts w:ascii="Tahoma" w:hAnsi="Tahoma"/>
      <w:kern w:val="2"/>
      <w:sz w:val="24"/>
    </w:rPr>
  </w:style>
  <w:style w:type="paragraph" w:customStyle="1" w:styleId="11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14">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15">
    <w:name w:val="font0"/>
    <w:basedOn w:val="1"/>
    <w:qFormat/>
    <w:uiPriority w:val="0"/>
    <w:pPr>
      <w:spacing w:before="100" w:beforeAutospacing="1" w:after="100" w:afterAutospacing="1"/>
    </w:pPr>
    <w:rPr>
      <w:rFonts w:ascii="宋体" w:hAnsi="宋体" w:cs="宋体"/>
      <w:sz w:val="24"/>
      <w:szCs w:val="24"/>
    </w:rPr>
  </w:style>
  <w:style w:type="paragraph" w:customStyle="1" w:styleId="116">
    <w:name w:val="Char1 Char1"/>
    <w:basedOn w:val="1"/>
    <w:qFormat/>
    <w:uiPriority w:val="0"/>
    <w:pPr>
      <w:widowControl w:val="0"/>
      <w:ind w:left="425" w:hanging="425"/>
      <w:jc w:val="both"/>
    </w:pPr>
    <w:rPr>
      <w:kern w:val="2"/>
      <w:sz w:val="24"/>
      <w:szCs w:val="24"/>
    </w:rPr>
  </w:style>
  <w:style w:type="paragraph" w:customStyle="1" w:styleId="117">
    <w:name w:val="页脚2"/>
    <w:basedOn w:val="1"/>
    <w:qFormat/>
    <w:uiPriority w:val="0"/>
    <w:pPr>
      <w:pBdr>
        <w:top w:val="single" w:color="auto" w:sz="6" w:space="0"/>
      </w:pBdr>
      <w:jc w:val="right"/>
      <w:textAlignment w:val="center"/>
    </w:pPr>
    <w:rPr>
      <w:rFonts w:ascii="宋体" w:hAnsi="宋体"/>
      <w:sz w:val="18"/>
    </w:rPr>
  </w:style>
  <w:style w:type="paragraph" w:customStyle="1" w:styleId="118">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19">
    <w:name w:val="font5"/>
    <w:basedOn w:val="1"/>
    <w:qFormat/>
    <w:uiPriority w:val="0"/>
    <w:pPr>
      <w:spacing w:before="100" w:beforeAutospacing="1" w:after="100" w:afterAutospacing="1"/>
    </w:pPr>
    <w:rPr>
      <w:rFonts w:ascii="宋体" w:hAnsi="宋体" w:cs="宋体"/>
      <w:sz w:val="18"/>
      <w:szCs w:val="18"/>
    </w:rPr>
  </w:style>
  <w:style w:type="paragraph" w:customStyle="1" w:styleId="120">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21">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22">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23">
    <w:name w:val="Char1 Char"/>
    <w:basedOn w:val="1"/>
    <w:qFormat/>
    <w:uiPriority w:val="0"/>
    <w:pPr>
      <w:widowControl w:val="0"/>
      <w:ind w:left="425" w:hanging="425"/>
      <w:jc w:val="both"/>
    </w:pPr>
    <w:rPr>
      <w:kern w:val="2"/>
      <w:sz w:val="24"/>
      <w:szCs w:val="24"/>
    </w:rPr>
  </w:style>
  <w:style w:type="paragraph" w:customStyle="1" w:styleId="124">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25">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2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127">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28">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29">
    <w:name w:val="正文缩近"/>
    <w:basedOn w:val="1"/>
    <w:qFormat/>
    <w:uiPriority w:val="0"/>
    <w:pPr>
      <w:widowControl w:val="0"/>
      <w:spacing w:line="360" w:lineRule="auto"/>
      <w:ind w:firstLine="200" w:firstLineChars="200"/>
      <w:jc w:val="both"/>
    </w:pPr>
    <w:rPr>
      <w:kern w:val="2"/>
      <w:sz w:val="24"/>
      <w:szCs w:val="24"/>
    </w:rPr>
  </w:style>
  <w:style w:type="paragraph" w:customStyle="1" w:styleId="130">
    <w:name w:val="Char Char Char1 Char"/>
    <w:basedOn w:val="1"/>
    <w:qFormat/>
    <w:uiPriority w:val="0"/>
    <w:pPr>
      <w:widowControl w:val="0"/>
      <w:jc w:val="both"/>
    </w:pPr>
    <w:rPr>
      <w:rFonts w:ascii="Tahoma" w:hAnsi="Tahoma"/>
      <w:kern w:val="2"/>
      <w:sz w:val="24"/>
    </w:rPr>
  </w:style>
  <w:style w:type="paragraph" w:customStyle="1" w:styleId="131">
    <w:name w:val="Char Char Char Char1"/>
    <w:basedOn w:val="1"/>
    <w:qFormat/>
    <w:uiPriority w:val="0"/>
    <w:pPr>
      <w:tabs>
        <w:tab w:val="left" w:pos="965"/>
      </w:tabs>
      <w:spacing w:after="160" w:line="240" w:lineRule="exact"/>
      <w:ind w:left="965" w:hanging="425"/>
    </w:pPr>
    <w:rPr>
      <w:rFonts w:ascii="Verdana" w:hAnsi="Verdana"/>
      <w:lang w:eastAsia="en-US"/>
    </w:rPr>
  </w:style>
  <w:style w:type="paragraph" w:customStyle="1" w:styleId="132">
    <w:name w:val="xl42"/>
    <w:basedOn w:val="1"/>
    <w:qFormat/>
    <w:uiPriority w:val="0"/>
    <w:pPr>
      <w:spacing w:before="100" w:beforeAutospacing="1" w:after="100" w:afterAutospacing="1"/>
      <w:textAlignment w:val="top"/>
    </w:pPr>
    <w:rPr>
      <w:rFonts w:ascii="宋体" w:hAnsi="宋体" w:cs="宋体"/>
      <w:sz w:val="24"/>
      <w:szCs w:val="24"/>
    </w:rPr>
  </w:style>
  <w:style w:type="paragraph" w:customStyle="1" w:styleId="133">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3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8">
    <w:name w:val="正文_12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9">
    <w:name w:val="p141_0"/>
    <w:qFormat/>
    <w:uiPriority w:val="0"/>
    <w:rPr>
      <w:rFonts w:ascii="Calibri" w:hAnsi="Calibri"/>
      <w:sz w:val="21"/>
      <w:szCs w:val="21"/>
    </w:rPr>
  </w:style>
  <w:style w:type="paragraph" w:customStyle="1" w:styleId="140">
    <w:name w:val="正文1"/>
    <w:link w:val="17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4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样式 New"/>
    <w:basedOn w:val="140"/>
    <w:next w:val="141"/>
    <w:qFormat/>
    <w:uiPriority w:val="0"/>
    <w:pPr>
      <w:ind w:left="572" w:right="32" w:firstLine="478"/>
    </w:pPr>
  </w:style>
  <w:style w:type="character" w:customStyle="1" w:styleId="143">
    <w:name w:val="样式2 Char Char"/>
    <w:link w:val="144"/>
    <w:qFormat/>
    <w:uiPriority w:val="0"/>
    <w:rPr>
      <w:rFonts w:ascii="宋体" w:hAnsi="宋体"/>
      <w:kern w:val="2"/>
      <w:sz w:val="28"/>
      <w:szCs w:val="28"/>
    </w:rPr>
  </w:style>
  <w:style w:type="paragraph" w:customStyle="1" w:styleId="144">
    <w:name w:val="样式2"/>
    <w:basedOn w:val="1"/>
    <w:link w:val="143"/>
    <w:qFormat/>
    <w:uiPriority w:val="0"/>
    <w:pPr>
      <w:widowControl w:val="0"/>
      <w:tabs>
        <w:tab w:val="left" w:pos="-720"/>
        <w:tab w:val="left" w:pos="-180"/>
        <w:tab w:val="left" w:pos="2160"/>
        <w:tab w:val="left" w:pos="4800"/>
        <w:tab w:val="left" w:pos="6600"/>
        <w:tab w:val="left" w:pos="7800"/>
      </w:tabs>
      <w:adjustRightInd w:val="0"/>
      <w:snapToGrid w:val="0"/>
      <w:spacing w:line="288" w:lineRule="auto"/>
      <w:ind w:firstLine="599" w:firstLineChars="200"/>
      <w:outlineLvl w:val="8"/>
    </w:pPr>
    <w:rPr>
      <w:rFonts w:ascii="宋体" w:hAnsi="宋体"/>
      <w:kern w:val="2"/>
      <w:sz w:val="28"/>
      <w:szCs w:val="28"/>
    </w:rPr>
  </w:style>
  <w:style w:type="character" w:customStyle="1" w:styleId="145">
    <w:name w:val="font31"/>
    <w:qFormat/>
    <w:uiPriority w:val="0"/>
    <w:rPr>
      <w:rFonts w:hint="eastAsia" w:ascii="宋体" w:hAnsi="宋体" w:eastAsia="宋体" w:cs="宋体"/>
      <w:b/>
      <w:color w:val="000000"/>
      <w:sz w:val="22"/>
      <w:szCs w:val="22"/>
      <w:u w:val="none"/>
    </w:rPr>
  </w:style>
  <w:style w:type="paragraph" w:customStyle="1" w:styleId="146">
    <w:name w:val="无间隔1"/>
    <w:qFormat/>
    <w:uiPriority w:val="1"/>
    <w:pPr>
      <w:widowControl w:val="0"/>
      <w:overflowPunct w:val="0"/>
      <w:autoSpaceDE w:val="0"/>
      <w:autoSpaceDN w:val="0"/>
      <w:adjustRightInd w:val="0"/>
    </w:pPr>
    <w:rPr>
      <w:rFonts w:ascii="宋体" w:hAnsi="宋体" w:eastAsia="宋体" w:cs="Times New Roman"/>
      <w:spacing w:val="-2"/>
      <w:sz w:val="21"/>
      <w:lang w:val="en-US" w:eastAsia="zh-CN" w:bidi="ar-SA"/>
    </w:rPr>
  </w:style>
  <w:style w:type="paragraph" w:customStyle="1" w:styleId="147">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纯文本_0"/>
    <w:basedOn w:val="141"/>
    <w:qFormat/>
    <w:uiPriority w:val="0"/>
    <w:rPr>
      <w:rFonts w:ascii="宋体" w:hAnsi="Courier New"/>
      <w:szCs w:val="20"/>
      <w:lang w:val="zh-CN"/>
    </w:rPr>
  </w:style>
  <w:style w:type="paragraph" w:customStyle="1" w:styleId="150">
    <w:name w:val="正文_2"/>
    <w:qFormat/>
    <w:uiPriority w:val="0"/>
    <w:rPr>
      <w:rFonts w:ascii="Times New Roman" w:hAnsi="Times New Roman" w:eastAsia="宋体" w:cs="Times New Roman"/>
      <w:sz w:val="21"/>
      <w:lang w:val="en-US" w:eastAsia="zh-CN" w:bidi="ar-SA"/>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修订2"/>
    <w:semiHidden/>
    <w:qFormat/>
    <w:uiPriority w:val="99"/>
    <w:rPr>
      <w:rFonts w:ascii="Times New Roman" w:hAnsi="Times New Roman" w:eastAsia="宋体" w:cs="Times New Roman"/>
      <w:sz w:val="21"/>
      <w:lang w:val="en-US" w:eastAsia="zh-CN" w:bidi="ar-SA"/>
    </w:rPr>
  </w:style>
  <w:style w:type="paragraph" w:customStyle="1" w:styleId="153">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Normal_12"/>
    <w:qFormat/>
    <w:uiPriority w:val="0"/>
    <w:rPr>
      <w:rFonts w:ascii="Times New Roman" w:hAnsi="Times New Roman" w:eastAsia="宋体" w:cs="Times New Roman"/>
      <w:sz w:val="21"/>
      <w:lang w:val="en-US" w:eastAsia="zh-CN" w:bidi="ar-SA"/>
    </w:rPr>
  </w:style>
  <w:style w:type="paragraph" w:customStyle="1" w:styleId="156">
    <w:name w:val="列出段落2"/>
    <w:basedOn w:val="155"/>
    <w:qFormat/>
    <w:uiPriority w:val="34"/>
    <w:pPr>
      <w:ind w:firstLine="420" w:firstLineChars="200"/>
    </w:pPr>
    <w:rPr>
      <w:rFonts w:ascii="Calibri" w:hAnsi="Calibri"/>
    </w:rPr>
  </w:style>
  <w:style w:type="character" w:customStyle="1" w:styleId="157">
    <w:name w:val="标题 3 字符"/>
    <w:qFormat/>
    <w:uiPriority w:val="0"/>
    <w:rPr>
      <w:rFonts w:ascii="宋体" w:cs="宋体"/>
      <w:sz w:val="21"/>
    </w:rPr>
  </w:style>
  <w:style w:type="character" w:customStyle="1" w:styleId="158">
    <w:name w:val="正文缩进 字符"/>
    <w:qFormat/>
    <w:uiPriority w:val="0"/>
    <w:rPr>
      <w:rFonts w:eastAsia="宋体"/>
      <w:sz w:val="21"/>
      <w:lang w:val="en-US" w:eastAsia="zh-CN" w:bidi="ar-SA"/>
    </w:rPr>
  </w:style>
  <w:style w:type="paragraph" w:styleId="159">
    <w:name w:val="List Paragraph"/>
    <w:basedOn w:val="1"/>
    <w:unhideWhenUsed/>
    <w:qFormat/>
    <w:uiPriority w:val="34"/>
    <w:pPr>
      <w:ind w:firstLine="420" w:firstLineChars="200"/>
    </w:pPr>
  </w:style>
  <w:style w:type="paragraph" w:customStyle="1" w:styleId="160">
    <w:name w:val="正文_0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1">
    <w:name w:val="修订3"/>
    <w:hidden/>
    <w:unhideWhenUsed/>
    <w:qFormat/>
    <w:uiPriority w:val="99"/>
    <w:rPr>
      <w:rFonts w:ascii="Times New Roman" w:hAnsi="Times New Roman" w:eastAsia="宋体" w:cs="Times New Roman"/>
      <w:sz w:val="21"/>
      <w:lang w:val="en-US" w:eastAsia="zh-CN" w:bidi="ar-SA"/>
    </w:rPr>
  </w:style>
  <w:style w:type="paragraph" w:customStyle="1" w:styleId="162">
    <w:name w:val="标题 4_0"/>
    <w:basedOn w:val="147"/>
    <w:next w:val="147"/>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customStyle="1" w:styleId="163">
    <w:name w:val="正文2"/>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64">
    <w:name w:val="段"/>
    <w:link w:val="1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5">
    <w:name w:val="段 Char"/>
    <w:link w:val="164"/>
    <w:qFormat/>
    <w:uiPriority w:val="0"/>
    <w:rPr>
      <w:rFonts w:ascii="宋体"/>
      <w:sz w:val="21"/>
    </w:rPr>
  </w:style>
  <w:style w:type="paragraph" w:customStyle="1" w:styleId="166">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标题 3_0"/>
    <w:basedOn w:val="134"/>
    <w:next w:val="1"/>
    <w:link w:val="168"/>
    <w:qFormat/>
    <w:uiPriority w:val="0"/>
    <w:pPr>
      <w:tabs>
        <w:tab w:val="left" w:pos="851"/>
      </w:tabs>
      <w:autoSpaceDE w:val="0"/>
      <w:autoSpaceDN w:val="0"/>
      <w:adjustRightInd w:val="0"/>
      <w:snapToGrid w:val="0"/>
      <w:spacing w:line="360" w:lineRule="auto"/>
      <w:outlineLvl w:val="2"/>
    </w:pPr>
    <w:rPr>
      <w:rFonts w:ascii="宋体" w:hAnsi="Times New Roman" w:cs="宋体"/>
      <w:kern w:val="0"/>
      <w:szCs w:val="20"/>
    </w:rPr>
  </w:style>
  <w:style w:type="character" w:customStyle="1" w:styleId="168">
    <w:name w:val="标题 3 Char"/>
    <w:basedOn w:val="40"/>
    <w:link w:val="167"/>
    <w:qFormat/>
    <w:locked/>
    <w:uiPriority w:val="0"/>
    <w:rPr>
      <w:rFonts w:ascii="宋体" w:cs="宋体"/>
      <w:sz w:val="21"/>
    </w:rPr>
  </w:style>
  <w:style w:type="paragraph" w:customStyle="1" w:styleId="16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0">
    <w:name w:val="标题 3_0_0"/>
    <w:basedOn w:val="135"/>
    <w:next w:val="1"/>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character" w:customStyle="1" w:styleId="171">
    <w:name w:val="正文 Char"/>
    <w:basedOn w:val="40"/>
    <w:link w:val="140"/>
    <w:qFormat/>
    <w:uiPriority w:val="0"/>
    <w:rPr>
      <w:rFonts w:ascii="Calibri" w:hAnsi="Calibri"/>
      <w:kern w:val="2"/>
      <w:sz w:val="21"/>
    </w:rPr>
  </w:style>
  <w:style w:type="paragraph" w:customStyle="1" w:styleId="172">
    <w:name w:val="Default_0_0"/>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73">
    <w:name w:val="标题 1 Char"/>
    <w:basedOn w:val="40"/>
    <w:link w:val="2"/>
    <w:qFormat/>
    <w:uiPriority w:val="0"/>
    <w:rPr>
      <w:b/>
      <w:bCs/>
      <w:kern w:val="44"/>
      <w:sz w:val="44"/>
      <w:szCs w:val="44"/>
    </w:rPr>
  </w:style>
  <w:style w:type="paragraph" w:customStyle="1" w:styleId="174">
    <w:name w:val="正文缩进1"/>
    <w:basedOn w:val="1"/>
    <w:qFormat/>
    <w:uiPriority w:val="0"/>
    <w:pPr>
      <w:ind w:firstLine="420"/>
    </w:pPr>
  </w:style>
  <w:style w:type="paragraph" w:customStyle="1" w:styleId="175">
    <w:name w:val="001"/>
    <w:basedOn w:val="1"/>
    <w:link w:val="176"/>
    <w:qFormat/>
    <w:uiPriority w:val="0"/>
    <w:pPr>
      <w:spacing w:line="360" w:lineRule="auto"/>
    </w:pPr>
    <w:rPr>
      <w:rFonts w:ascii="宋体" w:hAnsi="宋体"/>
      <w:color w:val="000000" w:themeColor="text1"/>
      <w:sz w:val="24"/>
      <w14:textFill>
        <w14:solidFill>
          <w14:schemeClr w14:val="tx1"/>
        </w14:solidFill>
      </w14:textFill>
    </w:rPr>
  </w:style>
  <w:style w:type="character" w:customStyle="1" w:styleId="176">
    <w:name w:val="001 字符"/>
    <w:basedOn w:val="40"/>
    <w:link w:val="175"/>
    <w:qFormat/>
    <w:uiPriority w:val="0"/>
    <w:rPr>
      <w:rFonts w:ascii="宋体" w:hAnsi="宋体"/>
      <w:color w:val="000000" w:themeColor="text1"/>
      <w:sz w:val="24"/>
      <w14:textFill>
        <w14:solidFill>
          <w14:schemeClr w14:val="tx1"/>
        </w14:solidFill>
      </w14:textFill>
    </w:rPr>
  </w:style>
  <w:style w:type="table" w:customStyle="1" w:styleId="177">
    <w:name w:val="网格型1"/>
    <w:basedOn w:val="3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8">
    <w:name w:val="批注主题 Char"/>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18799</Words>
  <Characters>19653</Characters>
  <Lines>146</Lines>
  <Paragraphs>41</Paragraphs>
  <TotalTime>46</TotalTime>
  <ScaleCrop>false</ScaleCrop>
  <LinksUpToDate>false</LinksUpToDate>
  <CharactersWithSpaces>20330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2021-06-10T03:34:00Z</dcterms:created>
  <dc:creator>zhuxiaorui</dc:creator>
  <cp:lastModifiedBy>K</cp:lastModifiedBy>
  <cp:lastPrinted>2020-12-31T02:10:00Z</cp:lastPrinted>
  <dcterms:modified xsi:type="dcterms:W3CDTF">2022-11-23T09:17:49Z</dcterms:modified>
  <dc:title>网址：www</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93D10C75099D4A2C89F5D3EEBC05EFB0</vt:lpwstr>
  </property>
</Properties>
</file>