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sz w:val="48"/>
          <w:szCs w:val="48"/>
        </w:rPr>
      </w:pPr>
      <w:bookmarkStart w:id="0" w:name="_Toc96944809"/>
    </w:p>
    <w:p>
      <w:pPr>
        <w:pStyle w:val="2"/>
        <w:rPr>
          <w:rFonts w:hint="eastAsia" w:ascii="宋体" w:hAnsi="宋体"/>
          <w:b/>
          <w:sz w:val="48"/>
          <w:szCs w:val="48"/>
        </w:rPr>
      </w:pPr>
    </w:p>
    <w:p>
      <w:pPr>
        <w:pStyle w:val="2"/>
        <w:rPr>
          <w:rFonts w:hint="eastAsia" w:ascii="宋体" w:hAnsi="宋体"/>
          <w:b/>
          <w:sz w:val="48"/>
          <w:szCs w:val="48"/>
        </w:rPr>
      </w:pPr>
    </w:p>
    <w:p>
      <w:pPr>
        <w:pStyle w:val="2"/>
        <w:rPr>
          <w:rFonts w:hint="eastAsia" w:ascii="宋体" w:hAnsi="宋体"/>
          <w:b/>
          <w:sz w:val="48"/>
          <w:szCs w:val="48"/>
        </w:rPr>
      </w:pPr>
    </w:p>
    <w:p>
      <w:pPr>
        <w:spacing w:line="300" w:lineRule="auto"/>
        <w:jc w:val="center"/>
        <w:rPr>
          <w:rFonts w:ascii="宋体" w:hAnsi="宋体"/>
          <w:b/>
          <w:sz w:val="48"/>
          <w:szCs w:val="48"/>
        </w:rPr>
      </w:pPr>
      <w:r>
        <w:rPr>
          <w:rFonts w:hint="eastAsia" w:ascii="宋体" w:hAnsi="宋体"/>
          <w:b/>
          <w:sz w:val="48"/>
          <w:szCs w:val="48"/>
        </w:rPr>
        <w:t>补充附件</w:t>
      </w:r>
    </w:p>
    <w:p>
      <w:pPr>
        <w:spacing w:line="300" w:lineRule="auto"/>
        <w:jc w:val="center"/>
        <w:rPr>
          <w:rFonts w:hint="eastAsia" w:ascii="宋体" w:hAnsi="宋体"/>
          <w:b/>
          <w:sz w:val="24"/>
          <w:szCs w:val="24"/>
        </w:rPr>
      </w:pPr>
    </w:p>
    <w:p>
      <w:pPr>
        <w:spacing w:line="300" w:lineRule="auto"/>
        <w:jc w:val="center"/>
        <w:rPr>
          <w:rFonts w:hint="eastAsia" w:ascii="宋体" w:hAnsi="宋体"/>
          <w:b/>
          <w:sz w:val="24"/>
          <w:szCs w:val="24"/>
        </w:rPr>
      </w:pPr>
    </w:p>
    <w:p>
      <w:pPr>
        <w:spacing w:line="300" w:lineRule="auto"/>
        <w:jc w:val="center"/>
        <w:rPr>
          <w:rFonts w:ascii="宋体" w:hAnsi="宋体"/>
          <w:b/>
          <w:sz w:val="24"/>
          <w:szCs w:val="24"/>
          <w:highlight w:val="none"/>
        </w:rPr>
      </w:pPr>
      <w:r>
        <w:rPr>
          <w:rFonts w:hint="eastAsia" w:ascii="宋体" w:hAnsi="宋体"/>
          <w:b/>
          <w:sz w:val="24"/>
          <w:szCs w:val="24"/>
        </w:rPr>
        <w:t>注：以下部分的附件</w:t>
      </w:r>
      <w:r>
        <w:rPr>
          <w:rFonts w:hint="eastAsia" w:ascii="宋体" w:hAnsi="宋体"/>
          <w:b/>
          <w:sz w:val="24"/>
          <w:szCs w:val="24"/>
          <w:highlight w:val="none"/>
          <w:lang w:val="en-US" w:eastAsia="zh-CN"/>
        </w:rPr>
        <w:t>投标人</w:t>
      </w:r>
      <w:r>
        <w:rPr>
          <w:rFonts w:hint="eastAsia" w:ascii="宋体" w:hAnsi="宋体"/>
          <w:b/>
          <w:sz w:val="24"/>
          <w:szCs w:val="24"/>
          <w:highlight w:val="none"/>
        </w:rPr>
        <w:t>应后附在投标文件中，作为投标文件的一部分。</w:t>
      </w:r>
    </w:p>
    <w:p>
      <w:pPr>
        <w:pStyle w:val="4"/>
        <w:keepNext w:val="0"/>
        <w:spacing w:before="75" w:after="75" w:line="480" w:lineRule="atLeast"/>
        <w:jc w:val="center"/>
        <w:rPr>
          <w:rFonts w:ascii="宋体" w:hAnsi="宋体" w:eastAsia="宋体" w:cs="宋体"/>
          <w:iCs w:val="0"/>
          <w:color w:val="333333"/>
          <w:highlight w:val="none"/>
          <w:lang w:eastAsia="zh-CN"/>
        </w:rPr>
        <w:sectPr>
          <w:footerReference r:id="rId3" w:type="default"/>
          <w:pgSz w:w="12240" w:h="15840"/>
          <w:pgMar w:top="1440" w:right="1800" w:bottom="1440" w:left="1800" w:header="720" w:footer="720" w:gutter="0"/>
          <w:cols w:space="720" w:num="1"/>
        </w:sectPr>
      </w:pPr>
    </w:p>
    <w:p>
      <w:pPr>
        <w:pStyle w:val="4"/>
        <w:keepNext w:val="0"/>
        <w:spacing w:before="75" w:after="75" w:line="480" w:lineRule="atLeast"/>
        <w:jc w:val="center"/>
        <w:rPr>
          <w:rFonts w:ascii="宋体" w:hAnsi="宋体" w:cs="宋体" w:eastAsiaTheme="minorEastAsia"/>
          <w:color w:val="333333"/>
          <w:highlight w:val="none"/>
          <w:lang w:eastAsia="zh-CN"/>
        </w:rPr>
      </w:pPr>
      <w:r>
        <w:rPr>
          <w:rFonts w:ascii="宋体" w:hAnsi="宋体" w:eastAsia="宋体" w:cs="宋体"/>
          <w:iCs w:val="0"/>
          <w:color w:val="333333"/>
          <w:highlight w:val="none"/>
          <w:lang w:eastAsia="zh-CN"/>
        </w:rPr>
        <w:t>★投标承诺函</w:t>
      </w:r>
      <w:bookmarkEnd w:id="0"/>
    </w:p>
    <w:p>
      <w:pPr>
        <w:widowControl w:val="0"/>
        <w:spacing w:after="200" w:line="360" w:lineRule="auto"/>
        <w:ind w:right="80"/>
        <w:jc w:val="both"/>
        <w:rPr>
          <w:rFonts w:ascii="宋体" w:hAnsi="宋体" w:eastAsia="宋体" w:cs="宋体"/>
          <w:highlight w:val="none"/>
          <w:lang w:eastAsia="zh-CN"/>
        </w:rPr>
      </w:pPr>
      <w:r>
        <w:rPr>
          <w:rFonts w:ascii="宋体" w:hAnsi="宋体" w:eastAsia="宋体" w:cs="宋体"/>
          <w:highlight w:val="none"/>
          <w:lang w:eastAsia="zh-CN"/>
        </w:rPr>
        <w:t>广州农村产权交易所有限公司：</w:t>
      </w:r>
    </w:p>
    <w:p>
      <w:pPr>
        <w:widowControl w:val="0"/>
        <w:spacing w:after="200" w:line="360" w:lineRule="auto"/>
        <w:ind w:right="80" w:firstLine="480"/>
        <w:jc w:val="both"/>
        <w:rPr>
          <w:rFonts w:ascii="宋体" w:hAnsi="宋体" w:cs="宋体"/>
          <w:lang w:eastAsia="zh-CN"/>
        </w:rPr>
      </w:pPr>
      <w:r>
        <w:rPr>
          <w:rFonts w:ascii="宋体" w:hAnsi="宋体" w:cs="宋体"/>
          <w:lang w:eastAsia="zh-CN"/>
        </w:rPr>
        <w:t>我方确认收到贵方提供的“</w:t>
      </w:r>
      <w:r>
        <w:rPr>
          <w:shd w:val="clear" w:color="auto" w:fill="FFFFFF"/>
          <w:lang w:eastAsia="zh-CN"/>
        </w:rPr>
        <w:t>2022年南沙区本级储备粮（1万吨）承储招标采购项目</w:t>
      </w:r>
      <w:r>
        <w:rPr>
          <w:rFonts w:ascii="宋体" w:hAnsi="宋体" w:cs="宋体"/>
          <w:lang w:eastAsia="zh-CN"/>
        </w:rPr>
        <w:t>”（项目编号：NS2022LS10000</w:t>
      </w:r>
      <w:r>
        <w:rPr>
          <w:rFonts w:hint="eastAsia" w:ascii="宋体" w:hAnsi="宋体" w:cs="宋体"/>
          <w:lang w:val="en-US" w:eastAsia="zh-CN"/>
        </w:rPr>
        <w:t>3</w:t>
      </w:r>
      <w:r>
        <w:rPr>
          <w:rFonts w:ascii="宋体" w:hAnsi="宋体" w:cs="宋体"/>
          <w:lang w:eastAsia="zh-CN"/>
        </w:rPr>
        <w:t>）的招标文件，已完全理解招标文件的所有内容。决定投标本项目，据此我方承诺如下：</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一、我方的投标文件在投标截止日后90天（日历天）内保持有效，如中标，有效期将延至本项目《广州市政府采购合同》执行期满日为止。</w:t>
      </w:r>
    </w:p>
    <w:p>
      <w:pPr>
        <w:widowControl w:val="0"/>
        <w:spacing w:after="200" w:line="360" w:lineRule="auto"/>
        <w:ind w:right="80" w:firstLine="480"/>
        <w:jc w:val="both"/>
        <w:rPr>
          <w:rFonts w:ascii="宋体" w:hAnsi="宋体" w:cs="宋体"/>
          <w:lang w:eastAsia="zh-CN"/>
        </w:rPr>
      </w:pPr>
      <w:r>
        <w:rPr>
          <w:rFonts w:ascii="宋体" w:hAnsi="宋体" w:cs="宋体"/>
          <w:lang w:eastAsia="zh-CN"/>
        </w:rPr>
        <w:t>二、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pPr>
        <w:widowControl w:val="0"/>
        <w:spacing w:after="200" w:line="360" w:lineRule="auto"/>
        <w:ind w:right="80" w:firstLine="480"/>
        <w:jc w:val="both"/>
        <w:rPr>
          <w:rFonts w:ascii="宋体" w:hAnsi="宋体" w:cs="宋体"/>
          <w:lang w:eastAsia="zh-CN"/>
        </w:rPr>
      </w:pPr>
      <w:r>
        <w:rPr>
          <w:rFonts w:ascii="宋体" w:hAnsi="宋体" w:cs="宋体"/>
          <w:lang w:eastAsia="zh-CN"/>
        </w:rPr>
        <w:t>四、我方理解贵方不一定接受最低报价的投标。</w:t>
      </w:r>
    </w:p>
    <w:p>
      <w:pPr>
        <w:widowControl w:val="0"/>
        <w:spacing w:after="200" w:line="360" w:lineRule="auto"/>
        <w:ind w:right="80" w:firstLine="480"/>
        <w:jc w:val="both"/>
        <w:rPr>
          <w:rFonts w:ascii="宋体" w:hAnsi="宋体" w:cs="宋体"/>
          <w:lang w:eastAsia="zh-CN"/>
        </w:rPr>
      </w:pPr>
      <w:r>
        <w:rPr>
          <w:rFonts w:ascii="宋体" w:hAnsi="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pPr>
        <w:widowControl w:val="0"/>
        <w:spacing w:after="200" w:line="360" w:lineRule="auto"/>
        <w:ind w:right="80" w:firstLine="480"/>
        <w:jc w:val="both"/>
        <w:rPr>
          <w:rFonts w:ascii="宋体" w:hAnsi="宋体" w:cs="宋体"/>
          <w:lang w:eastAsia="zh-CN"/>
        </w:rPr>
      </w:pPr>
      <w:r>
        <w:rPr>
          <w:rFonts w:ascii="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七、我方</w:t>
      </w:r>
      <w:r>
        <w:rPr>
          <w:rFonts w:ascii="宋体" w:hAnsi="宋体" w:cs="宋体"/>
          <w:u w:val="single"/>
          <w:lang w:eastAsia="zh-CN"/>
        </w:rPr>
        <w:t xml:space="preserve">      </w:t>
      </w:r>
      <w:r>
        <w:rPr>
          <w:rFonts w:ascii="宋体" w:hAnsi="宋体" w:cs="宋体"/>
          <w:lang w:eastAsia="zh-CN"/>
        </w:rPr>
        <w:t>储备粮库总仓容为</w:t>
      </w:r>
      <w:r>
        <w:rPr>
          <w:rFonts w:ascii="宋体" w:hAnsi="宋体" w:cs="宋体"/>
          <w:u w:val="single"/>
          <w:lang w:eastAsia="zh-CN"/>
        </w:rPr>
        <w:t xml:space="preserve">      </w:t>
      </w:r>
      <w:r>
        <w:rPr>
          <w:rFonts w:ascii="宋体" w:hAnsi="宋体" w:cs="宋体"/>
          <w:lang w:eastAsia="zh-CN"/>
        </w:rPr>
        <w:t>吨，能承储</w:t>
      </w:r>
      <w:r>
        <w:rPr>
          <w:rFonts w:hint="eastAsia" w:ascii="宋体" w:hAnsi="宋体" w:cs="宋体"/>
          <w:lang w:eastAsia="zh-CN"/>
        </w:rPr>
        <w:t>普通小麦</w:t>
      </w:r>
      <w:r>
        <w:rPr>
          <w:rFonts w:ascii="宋体" w:hAnsi="宋体" w:cs="宋体"/>
          <w:u w:val="single"/>
          <w:lang w:eastAsia="zh-CN"/>
        </w:rPr>
        <w:t xml:space="preserve">      </w:t>
      </w:r>
      <w:r>
        <w:rPr>
          <w:rFonts w:ascii="宋体" w:hAnsi="宋体" w:cs="宋体"/>
          <w:lang w:eastAsia="zh-CN"/>
        </w:rPr>
        <w:t>吨，储存方式为</w:t>
      </w:r>
      <w:r>
        <w:rPr>
          <w:rFonts w:ascii="宋体" w:hAnsi="宋体" w:cs="宋体"/>
          <w:u w:val="single"/>
          <w:lang w:eastAsia="zh-CN"/>
        </w:rPr>
        <w:t>散装/包装储存</w:t>
      </w:r>
      <w:r>
        <w:rPr>
          <w:rFonts w:ascii="宋体" w:hAnsi="宋体" w:cs="宋体"/>
          <w:lang w:eastAsia="zh-CN"/>
        </w:rPr>
        <w:t>（请投标人自行选择）</w:t>
      </w:r>
      <w:r>
        <w:rPr>
          <w:rFonts w:hint="eastAsia" w:ascii="宋体" w:hAnsi="宋体" w:cs="宋体"/>
          <w:lang w:eastAsia="zh-CN"/>
        </w:rPr>
        <w:t>。</w:t>
      </w:r>
    </w:p>
    <w:p>
      <w:pPr>
        <w:widowControl w:val="0"/>
        <w:spacing w:after="200" w:line="360" w:lineRule="auto"/>
        <w:ind w:right="80" w:firstLine="480"/>
        <w:jc w:val="both"/>
        <w:rPr>
          <w:rFonts w:ascii="宋体" w:hAnsi="宋体" w:cs="宋体"/>
          <w:lang w:eastAsia="zh-CN"/>
        </w:rPr>
      </w:pPr>
      <w:r>
        <w:rPr>
          <w:rFonts w:ascii="宋体" w:hAnsi="宋体" w:cs="宋体"/>
          <w:lang w:eastAsia="zh-CN"/>
        </w:rPr>
        <w:t>八、我方</w:t>
      </w:r>
      <w:r>
        <w:rPr>
          <w:rFonts w:ascii="宋体" w:hAnsi="宋体" w:cs="宋体"/>
          <w:u w:val="single"/>
          <w:lang w:eastAsia="zh-CN"/>
        </w:rPr>
        <w:t xml:space="preserve">      </w:t>
      </w:r>
      <w:r>
        <w:rPr>
          <w:rFonts w:ascii="宋体" w:hAnsi="宋体" w:cs="宋体"/>
          <w:lang w:eastAsia="zh-CN"/>
        </w:rPr>
        <w:t>储备粮库有/无（请投标人自行选择）存放</w:t>
      </w:r>
      <w:r>
        <w:rPr>
          <w:rFonts w:hint="eastAsia" w:ascii="宋体" w:hAnsi="宋体" w:cs="宋体"/>
          <w:lang w:eastAsia="zh-CN"/>
        </w:rPr>
        <w:t>南沙</w:t>
      </w:r>
      <w:r>
        <w:rPr>
          <w:rFonts w:ascii="宋体" w:hAnsi="宋体" w:cs="宋体"/>
          <w:lang w:eastAsia="zh-CN"/>
        </w:rPr>
        <w:t>区级地方储备粮以外的粮食，承储粮食存放在</w:t>
      </w:r>
      <w:r>
        <w:rPr>
          <w:rFonts w:ascii="宋体" w:hAnsi="宋体" w:cs="宋体"/>
          <w:u w:val="single"/>
          <w:lang w:eastAsia="zh-CN"/>
        </w:rPr>
        <w:t xml:space="preserve">      </w:t>
      </w:r>
      <w:r>
        <w:rPr>
          <w:rFonts w:ascii="宋体" w:hAnsi="宋体" w:cs="宋体"/>
          <w:lang w:eastAsia="zh-CN"/>
        </w:rPr>
        <w:t xml:space="preserve">个仓库，近3年内有/无（请投标人自行选择）发生市级认定的安全生产事故。 </w:t>
      </w:r>
    </w:p>
    <w:p>
      <w:pPr>
        <w:widowControl w:val="0"/>
        <w:spacing w:after="200" w:line="360" w:lineRule="auto"/>
        <w:ind w:right="80" w:firstLine="480"/>
        <w:jc w:val="both"/>
        <w:rPr>
          <w:rFonts w:ascii="宋体" w:hAnsi="宋体" w:cs="宋体"/>
          <w:lang w:eastAsia="zh-CN"/>
        </w:rPr>
      </w:pPr>
      <w:r>
        <w:rPr>
          <w:rFonts w:ascii="宋体" w:hAnsi="宋体" w:cs="宋体"/>
          <w:lang w:eastAsia="zh-CN"/>
        </w:rPr>
        <w:t>九、我方接受采购人保留在确认中标粮仓承储资格前依据投标承诺对中标粮仓进行现场投标承诺核查的权力。即评标结束后，采购人在评标报告确定的中标候选人名单中按顺序对中标粮仓进行现场投标承诺核查，最终确定中标人。</w:t>
      </w:r>
    </w:p>
    <w:p>
      <w:pPr>
        <w:widowControl w:val="0"/>
        <w:spacing w:after="200" w:line="360" w:lineRule="auto"/>
        <w:ind w:right="80" w:firstLine="480"/>
        <w:jc w:val="both"/>
        <w:rPr>
          <w:rFonts w:ascii="宋体" w:hAnsi="宋体" w:cs="宋体"/>
          <w:lang w:eastAsia="zh-CN"/>
        </w:rPr>
      </w:pPr>
      <w:r>
        <w:rPr>
          <w:rFonts w:ascii="宋体" w:hAnsi="宋体" w:cs="宋体"/>
          <w:lang w:eastAsia="zh-CN"/>
        </w:rPr>
        <w:t>十、所有与本项目有关的函件请发往下列地址：</w:t>
      </w:r>
    </w:p>
    <w:tbl>
      <w:tblPr>
        <w:tblStyle w:val="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1739"/>
        <w:gridCol w:w="1739"/>
        <w:gridCol w:w="1739"/>
        <w:gridCol w:w="1739"/>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18"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widowControl w:val="0"/>
              <w:spacing w:after="200" w:line="360" w:lineRule="auto"/>
              <w:ind w:right="24"/>
              <w:jc w:val="both"/>
              <w:rPr>
                <w:rFonts w:ascii="宋体" w:hAnsi="宋体" w:cs="宋体"/>
              </w:rPr>
            </w:pPr>
            <w:r>
              <w:rPr>
                <w:rFonts w:ascii="宋体" w:hAnsi="宋体" w:cs="宋体"/>
              </w:rPr>
              <w:t>地址（邮编）</w:t>
            </w:r>
          </w:p>
        </w:tc>
        <w:tc>
          <w:tcPr>
            <w:tcW w:w="810" w:type="dxa"/>
            <w:gridSpan w:val="2"/>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cs="宋体"/>
              </w:rPr>
            </w:pPr>
          </w:p>
        </w:tc>
        <w:tc>
          <w:tcPr>
            <w:tcW w:w="810"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cs="宋体"/>
              </w:rPr>
            </w:pPr>
            <w:r>
              <w:rPr>
                <w:rFonts w:ascii="宋体" w:hAnsi="宋体" w:cs="宋体"/>
              </w:rPr>
              <w:t>传真</w:t>
            </w:r>
          </w:p>
        </w:tc>
        <w:tc>
          <w:tcPr>
            <w:tcW w:w="810"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18"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widowControl w:val="0"/>
              <w:spacing w:after="200" w:line="360" w:lineRule="auto"/>
              <w:ind w:right="24"/>
              <w:jc w:val="both"/>
              <w:rPr>
                <w:rFonts w:ascii="宋体" w:hAnsi="宋体" w:cs="宋体"/>
              </w:rPr>
            </w:pPr>
            <w:r>
              <w:rPr>
                <w:rFonts w:ascii="宋体" w:hAnsi="宋体" w:cs="宋体"/>
              </w:rPr>
              <w:t>电话、手机</w:t>
            </w:r>
          </w:p>
        </w:tc>
        <w:tc>
          <w:tcPr>
            <w:tcW w:w="810"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cs="宋体"/>
              </w:rPr>
            </w:pPr>
          </w:p>
        </w:tc>
        <w:tc>
          <w:tcPr>
            <w:tcW w:w="810"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cs="宋体"/>
              </w:rPr>
            </w:pPr>
            <w:r>
              <w:rPr>
                <w:rFonts w:ascii="宋体" w:hAnsi="宋体" w:cs="宋体"/>
              </w:rPr>
              <w:t>联系人（职务）</w:t>
            </w:r>
          </w:p>
        </w:tc>
        <w:tc>
          <w:tcPr>
            <w:tcW w:w="810" w:type="dxa"/>
            <w:gridSpan w:val="2"/>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cs="宋体"/>
              </w:rPr>
            </w:pPr>
          </w:p>
        </w:tc>
      </w:tr>
    </w:tbl>
    <w:p>
      <w:pPr>
        <w:widowControl w:val="0"/>
        <w:spacing w:after="200" w:line="360" w:lineRule="auto"/>
        <w:ind w:right="80" w:firstLine="4080"/>
        <w:jc w:val="both"/>
        <w:rPr>
          <w:rFonts w:ascii="宋体" w:hAnsi="宋体" w:cs="宋体"/>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60" w:lineRule="auto"/>
        <w:ind w:right="80" w:firstLine="4080"/>
        <w:jc w:val="right"/>
        <w:rPr>
          <w:rFonts w:ascii="宋体" w:hAnsi="宋体" w:cs="宋体"/>
          <w:lang w:eastAsia="zh-CN"/>
        </w:rPr>
      </w:pPr>
      <w:r>
        <w:rPr>
          <w:rFonts w:ascii="宋体" w:hAnsi="宋体" w:cs="宋体"/>
          <w:lang w:eastAsia="zh-CN"/>
        </w:rPr>
        <w:t>日期：    年   月   日</w:t>
      </w:r>
    </w:p>
    <w:p>
      <w:pPr>
        <w:widowControl w:val="0"/>
        <w:spacing w:line="360" w:lineRule="auto"/>
        <w:rPr>
          <w:rFonts w:ascii="宋体" w:hAnsi="宋体" w:cs="宋体"/>
          <w:lang w:eastAsia="zh-CN"/>
        </w:rPr>
      </w:pPr>
      <w:r>
        <w:rPr>
          <w:rFonts w:ascii="宋体" w:hAnsi="宋体" w:cs="宋体"/>
          <w:lang w:eastAsia="zh-CN"/>
        </w:rPr>
        <w:t>说明：本格式文件内容不得擅自删改。</w:t>
      </w:r>
    </w:p>
    <w:p>
      <w:pPr>
        <w:widowControl w:val="0"/>
        <w:spacing w:line="360" w:lineRule="auto"/>
        <w:rPr>
          <w:rFonts w:ascii="宋体" w:hAnsi="宋体" w:cs="宋体"/>
          <w:highlight w:val="none"/>
          <w:lang w:eastAsia="zh-CN"/>
        </w:rPr>
      </w:pPr>
    </w:p>
    <w:p>
      <w:pPr>
        <w:widowControl w:val="0"/>
        <w:spacing w:line="360" w:lineRule="auto"/>
        <w:rPr>
          <w:rFonts w:ascii="宋体" w:hAnsi="宋体" w:cs="宋体"/>
          <w:highlight w:val="none"/>
          <w:lang w:eastAsia="zh-CN"/>
        </w:rPr>
      </w:pPr>
    </w:p>
    <w:p>
      <w:pPr>
        <w:widowControl w:val="0"/>
        <w:spacing w:line="360" w:lineRule="auto"/>
        <w:rPr>
          <w:rFonts w:ascii="宋体" w:hAnsi="宋体" w:cs="宋体"/>
          <w:highlight w:val="none"/>
          <w:lang w:eastAsia="zh-CN"/>
        </w:rPr>
      </w:pPr>
    </w:p>
    <w:p>
      <w:pPr>
        <w:widowControl w:val="0"/>
        <w:spacing w:line="360" w:lineRule="auto"/>
        <w:rPr>
          <w:rFonts w:ascii="宋体" w:hAnsi="宋体" w:cs="宋体"/>
          <w:highlight w:val="none"/>
          <w:lang w:eastAsia="zh-CN"/>
        </w:rPr>
      </w:pPr>
    </w:p>
    <w:p>
      <w:pPr>
        <w:widowControl w:val="0"/>
        <w:spacing w:line="360" w:lineRule="auto"/>
        <w:rPr>
          <w:rFonts w:ascii="宋体" w:hAnsi="宋体" w:cs="宋体"/>
          <w:highlight w:val="none"/>
          <w:lang w:eastAsia="zh-CN"/>
        </w:rPr>
      </w:pPr>
    </w:p>
    <w:p>
      <w:pPr>
        <w:widowControl w:val="0"/>
        <w:spacing w:line="360" w:lineRule="auto"/>
        <w:rPr>
          <w:rFonts w:ascii="宋体" w:hAnsi="宋体" w:cs="宋体"/>
          <w:highlight w:val="none"/>
          <w:lang w:eastAsia="zh-CN"/>
        </w:rPr>
        <w:sectPr>
          <w:pgSz w:w="12240" w:h="15840"/>
          <w:pgMar w:top="1440" w:right="1800" w:bottom="1440" w:left="1800" w:header="720" w:footer="720" w:gutter="0"/>
          <w:cols w:space="720" w:num="1"/>
        </w:sectPr>
      </w:pPr>
    </w:p>
    <w:p>
      <w:pPr>
        <w:rPr>
          <w:highlight w:val="none"/>
          <w:lang w:eastAsia="zh-CN"/>
        </w:rPr>
      </w:pPr>
    </w:p>
    <w:p>
      <w:pPr>
        <w:pStyle w:val="4"/>
        <w:keepNext w:val="0"/>
        <w:spacing w:before="75" w:after="75" w:line="480" w:lineRule="atLeast"/>
        <w:jc w:val="center"/>
        <w:rPr>
          <w:rFonts w:ascii="宋体" w:hAnsi="宋体" w:eastAsia="宋体" w:cs="宋体"/>
          <w:lang w:eastAsia="zh-CN"/>
        </w:rPr>
      </w:pPr>
      <w:bookmarkStart w:id="1" w:name="_Toc96953565"/>
      <w:r>
        <w:rPr>
          <w:rFonts w:ascii="宋体" w:hAnsi="宋体" w:eastAsia="宋体" w:cs="宋体"/>
          <w:iCs w:val="0"/>
          <w:lang w:eastAsia="zh-CN"/>
        </w:rPr>
        <w:t>开标一览表</w:t>
      </w:r>
      <w:bookmarkEnd w:id="1"/>
    </w:p>
    <w:p>
      <w:pPr>
        <w:pStyle w:val="10"/>
        <w:spacing w:after="227"/>
        <w:jc w:val="center"/>
        <w:rPr>
          <w:rFonts w:ascii="宋体" w:hAnsi="宋体" w:cs="宋体"/>
          <w:lang w:eastAsia="zh-CN"/>
        </w:rPr>
      </w:pPr>
      <w:r>
        <w:rPr>
          <w:rFonts w:ascii="宋体" w:hAnsi="宋体" w:cs="宋体"/>
          <w:lang w:eastAsia="zh-CN"/>
        </w:rPr>
        <w:t> </w:t>
      </w:r>
    </w:p>
    <w:p>
      <w:pPr>
        <w:pStyle w:val="10"/>
        <w:spacing w:after="227"/>
        <w:jc w:val="center"/>
        <w:rPr>
          <w:rFonts w:ascii="宋体" w:hAnsi="宋体" w:cs="宋体"/>
          <w:lang w:eastAsia="zh-CN"/>
        </w:rPr>
      </w:pPr>
      <w:r>
        <w:rPr>
          <w:rFonts w:ascii="宋体" w:hAnsi="宋体" w:cs="宋体"/>
          <w:lang w:eastAsia="zh-CN"/>
        </w:rPr>
        <w:t> </w:t>
      </w:r>
    </w:p>
    <w:p>
      <w:pPr>
        <w:pStyle w:val="10"/>
        <w:spacing w:after="227"/>
        <w:jc w:val="right"/>
        <w:rPr>
          <w:rFonts w:ascii="宋体" w:hAnsi="宋体" w:cs="宋体"/>
          <w:lang w:eastAsia="zh-CN"/>
        </w:rPr>
      </w:pPr>
      <w:r>
        <w:rPr>
          <w:rStyle w:val="12"/>
          <w:rFonts w:ascii="宋体" w:hAnsi="宋体" w:cs="宋体"/>
          <w:lang w:eastAsia="zh-CN"/>
        </w:rPr>
        <w:t>货币单位：人民币元</w:t>
      </w:r>
    </w:p>
    <w:tbl>
      <w:tblPr>
        <w:tblStyle w:val="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77"/>
        <w:gridCol w:w="4335"/>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18" w:type="dxa"/>
            <w:tcBorders>
              <w:right w:val="single" w:color="666666" w:sz="2" w:space="0"/>
            </w:tcBorders>
            <w:shd w:val="clear" w:color="auto" w:fill="FFFFFF"/>
            <w:tcMar>
              <w:top w:w="38" w:type="dxa"/>
              <w:left w:w="38" w:type="dxa"/>
              <w:bottom w:w="38" w:type="dxa"/>
              <w:right w:w="34" w:type="dxa"/>
            </w:tcMar>
            <w:vAlign w:val="center"/>
          </w:tcPr>
          <w:p>
            <w:pPr>
              <w:pStyle w:val="10"/>
              <w:spacing w:after="227"/>
              <w:jc w:val="center"/>
              <w:rPr>
                <w:rFonts w:ascii="宋体" w:hAnsi="宋体" w:cs="宋体"/>
                <w:lang w:eastAsia="zh-CN"/>
              </w:rPr>
            </w:pPr>
            <w:r>
              <w:rPr>
                <w:rStyle w:val="12"/>
                <w:rFonts w:hint="eastAsia" w:ascii="宋体" w:hAnsi="宋体" w:cs="宋体"/>
                <w:sz w:val="24"/>
                <w:szCs w:val="24"/>
                <w:lang w:eastAsia="zh-CN"/>
              </w:rPr>
              <w:t>普通小麦</w:t>
            </w:r>
            <w:r>
              <w:rPr>
                <w:rStyle w:val="12"/>
                <w:rFonts w:ascii="宋体" w:hAnsi="宋体" w:cs="宋体"/>
                <w:sz w:val="24"/>
                <w:szCs w:val="24"/>
                <w:lang w:eastAsia="zh-CN"/>
              </w:rPr>
              <w:t>投标金额(元/吨)</w:t>
            </w:r>
          </w:p>
        </w:tc>
        <w:tc>
          <w:tcPr>
            <w:tcW w:w="810" w:type="dxa"/>
            <w:tcBorders>
              <w:left w:val="single" w:color="666666" w:sz="2" w:space="0"/>
              <w:right w:val="single" w:color="666666" w:sz="2" w:space="0"/>
            </w:tcBorders>
            <w:shd w:val="clear" w:color="auto" w:fill="FFFFFF"/>
            <w:tcMar>
              <w:top w:w="38" w:type="dxa"/>
              <w:left w:w="34" w:type="dxa"/>
              <w:bottom w:w="38" w:type="dxa"/>
              <w:right w:w="34" w:type="dxa"/>
            </w:tcMar>
            <w:vAlign w:val="center"/>
          </w:tcPr>
          <w:p>
            <w:pPr>
              <w:jc w:val="center"/>
              <w:rPr>
                <w:rFonts w:ascii="宋体" w:hAnsi="宋体" w:cs="宋体"/>
              </w:rPr>
            </w:pPr>
            <w:r>
              <w:rPr>
                <w:rFonts w:ascii="宋体" w:hAnsi="宋体" w:cs="宋体"/>
              </w:rPr>
              <w:t xml:space="preserve">__________ </w:t>
            </w:r>
          </w:p>
        </w:tc>
      </w:tr>
    </w:tbl>
    <w:p>
      <w:pPr>
        <w:pStyle w:val="10"/>
        <w:spacing w:after="227"/>
        <w:jc w:val="center"/>
        <w:rPr>
          <w:rFonts w:ascii="宋体" w:hAnsi="宋体" w:cs="宋体"/>
        </w:rPr>
      </w:pPr>
      <w:r>
        <w:rPr>
          <w:rStyle w:val="12"/>
          <w:rFonts w:ascii="宋体" w:hAnsi="宋体" w:cs="宋体"/>
        </w:rPr>
        <w:t xml:space="preserve"> </w:t>
      </w:r>
    </w:p>
    <w:p>
      <w:pPr>
        <w:pStyle w:val="10"/>
        <w:spacing w:after="227"/>
        <w:rPr>
          <w:rFonts w:ascii="宋体" w:hAnsi="宋体" w:cs="宋体"/>
          <w:lang w:eastAsia="zh-CN"/>
        </w:rPr>
      </w:pPr>
      <w:r>
        <w:rPr>
          <w:rFonts w:ascii="宋体" w:hAnsi="宋体" w:cs="宋体"/>
          <w:lang w:eastAsia="zh-CN"/>
        </w:rPr>
        <w:t> </w:t>
      </w:r>
    </w:p>
    <w:p>
      <w:pPr>
        <w:pStyle w:val="10"/>
        <w:spacing w:after="227"/>
        <w:rPr>
          <w:rFonts w:ascii="宋体" w:hAnsi="宋体" w:cs="宋体"/>
          <w:lang w:eastAsia="zh-CN"/>
        </w:rPr>
      </w:pPr>
    </w:p>
    <w:p>
      <w:pPr>
        <w:pStyle w:val="10"/>
        <w:spacing w:after="227"/>
        <w:rPr>
          <w:rFonts w:ascii="宋体" w:hAnsi="宋体" w:eastAsia="宋体" w:cs="宋体"/>
          <w:highlight w:val="none"/>
          <w:lang w:eastAsia="zh-CN"/>
        </w:rPr>
        <w:sectPr>
          <w:pgSz w:w="12240" w:h="15840"/>
          <w:pgMar w:top="1440" w:right="1800" w:bottom="1440" w:left="1800" w:header="720" w:footer="720" w:gutter="0"/>
          <w:cols w:space="720" w:num="1"/>
        </w:sectPr>
      </w:pPr>
      <w:r>
        <w:rPr>
          <w:rFonts w:ascii="宋体" w:hAnsi="宋体" w:eastAsia="宋体" w:cs="宋体"/>
          <w:highlight w:val="none"/>
          <w:lang w:eastAsia="zh-CN"/>
        </w:rPr>
        <w:t> </w:t>
      </w:r>
    </w:p>
    <w:p>
      <w:pPr>
        <w:pStyle w:val="4"/>
        <w:keepNext w:val="0"/>
        <w:spacing w:before="75" w:after="75" w:line="480" w:lineRule="atLeast"/>
        <w:jc w:val="center"/>
        <w:rPr>
          <w:rFonts w:ascii="宋体" w:hAnsi="宋体" w:eastAsia="宋体" w:cs="宋体"/>
          <w:lang w:eastAsia="zh-CN"/>
        </w:rPr>
      </w:pPr>
      <w:bookmarkStart w:id="2" w:name="_Toc96953568"/>
      <w:r>
        <w:rPr>
          <w:rFonts w:ascii="宋体" w:hAnsi="宋体" w:eastAsia="宋体" w:cs="宋体"/>
          <w:iCs w:val="0"/>
          <w:lang w:eastAsia="zh-CN"/>
        </w:rPr>
        <w:t>总公司投标授权书（分支机构适用）</w:t>
      </w:r>
      <w:bookmarkEnd w:id="2"/>
    </w:p>
    <w:p>
      <w:pPr>
        <w:widowControl w:val="0"/>
        <w:spacing w:after="200" w:line="360" w:lineRule="auto"/>
        <w:jc w:val="both"/>
        <w:rPr>
          <w:rFonts w:ascii="宋体" w:hAnsi="宋体" w:cs="宋体"/>
          <w:sz w:val="28"/>
          <w:szCs w:val="28"/>
          <w:lang w:eastAsia="zh-CN"/>
        </w:rPr>
      </w:pPr>
    </w:p>
    <w:p>
      <w:pPr>
        <w:widowControl w:val="0"/>
        <w:spacing w:after="200" w:line="360" w:lineRule="auto"/>
        <w:jc w:val="both"/>
        <w:rPr>
          <w:rFonts w:ascii="宋体" w:hAnsi="宋体" w:cs="宋体"/>
          <w:lang w:eastAsia="zh-CN"/>
        </w:rPr>
      </w:pPr>
      <w:r>
        <w:rPr>
          <w:rFonts w:hint="eastAsia" w:ascii="宋体" w:hAnsi="宋体" w:cs="宋体"/>
          <w:b/>
          <w:bCs/>
          <w:lang w:eastAsia="zh-CN"/>
        </w:rPr>
        <w:t>广州南沙经济技术开发区发展和改革局</w:t>
      </w:r>
      <w:r>
        <w:rPr>
          <w:rFonts w:ascii="宋体" w:hAnsi="宋体" w:cs="宋体"/>
          <w:b/>
          <w:bCs/>
          <w:lang w:eastAsia="zh-CN"/>
        </w:rPr>
        <w:t>/广州农村产权交易所有限公司：</w:t>
      </w:r>
    </w:p>
    <w:p>
      <w:pPr>
        <w:widowControl w:val="0"/>
        <w:spacing w:after="200" w:line="360" w:lineRule="auto"/>
        <w:ind w:firstLine="480"/>
        <w:jc w:val="both"/>
        <w:rPr>
          <w:rFonts w:ascii="宋体" w:hAnsi="宋体" w:cs="宋体"/>
          <w:lang w:eastAsia="zh-CN"/>
        </w:rPr>
      </w:pPr>
      <w:r>
        <w:rPr>
          <w:rFonts w:ascii="宋体" w:hAnsi="宋体" w:cs="宋体"/>
          <w:lang w:eastAsia="zh-CN"/>
        </w:rPr>
        <w:t>(法定代表人姓名）系（总公司/总所名称）的法定代表人，现授权 （分支机构名称）为我方合法委托代理人参加“</w:t>
      </w:r>
      <w:r>
        <w:rPr>
          <w:rFonts w:hint="eastAsia"/>
          <w:shd w:val="clear" w:color="auto" w:fill="FFFFFF"/>
          <w:lang w:eastAsia="zh-CN"/>
        </w:rPr>
        <w:t>2022年南沙区本级储备粮（1万吨）承储招标采购项目</w:t>
      </w:r>
      <w:r>
        <w:rPr>
          <w:rFonts w:ascii="宋体" w:hAnsi="宋体" w:cs="宋体"/>
          <w:lang w:eastAsia="zh-C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pPr>
        <w:widowControl w:val="0"/>
        <w:spacing w:after="200" w:line="360" w:lineRule="auto"/>
        <w:ind w:firstLine="480"/>
        <w:jc w:val="both"/>
        <w:rPr>
          <w:rFonts w:ascii="宋体" w:hAnsi="宋体" w:cs="宋体"/>
          <w:lang w:eastAsia="zh-CN"/>
        </w:rPr>
      </w:pPr>
    </w:p>
    <w:p>
      <w:pPr>
        <w:widowControl w:val="0"/>
        <w:spacing w:after="200" w:line="360" w:lineRule="auto"/>
        <w:ind w:firstLine="480"/>
        <w:jc w:val="both"/>
        <w:rPr>
          <w:rFonts w:ascii="宋体" w:hAnsi="宋体" w:cs="宋体"/>
          <w:lang w:eastAsia="zh-CN"/>
        </w:rPr>
      </w:pPr>
    </w:p>
    <w:p>
      <w:pPr>
        <w:widowControl w:val="0"/>
        <w:spacing w:after="200" w:line="360" w:lineRule="auto"/>
        <w:ind w:firstLine="480"/>
        <w:jc w:val="both"/>
        <w:rPr>
          <w:rFonts w:ascii="宋体" w:hAnsi="宋体" w:cs="宋体"/>
          <w:lang w:eastAsia="zh-CN"/>
        </w:rPr>
      </w:pPr>
      <w:r>
        <w:rPr>
          <w:rFonts w:ascii="宋体" w:hAnsi="宋体" w:cs="宋体"/>
          <w:lang w:eastAsia="zh-CN"/>
        </w:rPr>
        <w:t>本授权书于  年  月  日签字生效，代理人无转委托权。</w:t>
      </w:r>
    </w:p>
    <w:p>
      <w:pPr>
        <w:widowControl w:val="0"/>
        <w:spacing w:after="200" w:line="360" w:lineRule="auto"/>
        <w:jc w:val="both"/>
        <w:rPr>
          <w:rFonts w:ascii="宋体" w:hAnsi="宋体" w:cs="宋体"/>
          <w:sz w:val="28"/>
          <w:szCs w:val="28"/>
          <w:lang w:eastAsia="zh-CN"/>
        </w:rPr>
      </w:pPr>
    </w:p>
    <w:p>
      <w:pPr>
        <w:widowControl w:val="0"/>
        <w:spacing w:after="200" w:line="360" w:lineRule="auto"/>
        <w:jc w:val="both"/>
        <w:rPr>
          <w:rFonts w:ascii="宋体" w:hAnsi="宋体" w:cs="宋体"/>
          <w:sz w:val="28"/>
          <w:szCs w:val="28"/>
          <w:lang w:eastAsia="zh-CN"/>
        </w:rPr>
      </w:pPr>
    </w:p>
    <w:p>
      <w:pPr>
        <w:widowControl w:val="0"/>
        <w:spacing w:after="200" w:line="360" w:lineRule="auto"/>
        <w:jc w:val="right"/>
        <w:rPr>
          <w:rFonts w:ascii="宋体" w:hAnsi="宋体" w:cs="宋体"/>
          <w:lang w:eastAsia="zh-CN"/>
        </w:rPr>
      </w:pPr>
      <w:r>
        <w:rPr>
          <w:rFonts w:ascii="宋体" w:hAnsi="宋体" w:cs="宋体"/>
          <w:lang w:eastAsia="zh-CN"/>
        </w:rPr>
        <w:t>授权人：（总公司/总所名称）（盖章）</w:t>
      </w:r>
    </w:p>
    <w:p>
      <w:pPr>
        <w:widowControl w:val="0"/>
        <w:spacing w:after="200" w:line="360" w:lineRule="auto"/>
        <w:ind w:left="4532"/>
        <w:jc w:val="both"/>
        <w:rPr>
          <w:rFonts w:ascii="宋体" w:hAnsi="宋体" w:cs="宋体"/>
          <w:lang w:eastAsia="zh-CN"/>
        </w:rPr>
      </w:pPr>
      <w:r>
        <w:rPr>
          <w:rFonts w:ascii="宋体" w:hAnsi="宋体" w:cs="宋体"/>
          <w:lang w:eastAsia="zh-CN"/>
        </w:rPr>
        <w:t xml:space="preserve"> 法定代表人：      （签字）</w:t>
      </w:r>
    </w:p>
    <w:p>
      <w:pPr>
        <w:widowControl w:val="0"/>
        <w:spacing w:line="360" w:lineRule="auto"/>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 xml:space="preserve">        XXXX年  XX  月  XX  日</w:t>
      </w:r>
    </w:p>
    <w:p>
      <w:pPr>
        <w:pStyle w:val="4"/>
        <w:keepNext w:val="0"/>
        <w:spacing w:before="75" w:after="75" w:line="480" w:lineRule="atLeast"/>
        <w:jc w:val="center"/>
        <w:rPr>
          <w:rFonts w:ascii="宋体" w:hAnsi="宋体" w:eastAsia="宋体" w:cs="宋体"/>
          <w:lang w:eastAsia="zh-CN"/>
        </w:rPr>
      </w:pPr>
      <w:bookmarkStart w:id="3" w:name="_Toc96953569"/>
      <w:r>
        <w:rPr>
          <w:rFonts w:ascii="宋体" w:hAnsi="宋体" w:eastAsia="宋体" w:cs="宋体"/>
          <w:iCs w:val="0"/>
          <w:lang w:eastAsia="zh-CN"/>
        </w:rPr>
        <w:t>投标人综合实力情况表</w:t>
      </w:r>
      <w:bookmarkEnd w:id="3"/>
    </w:p>
    <w:p>
      <w:pPr>
        <w:widowControl w:val="0"/>
        <w:spacing w:after="200" w:line="360" w:lineRule="auto"/>
        <w:jc w:val="both"/>
        <w:rPr>
          <w:rFonts w:ascii="宋体" w:hAnsi="宋体" w:cs="宋体"/>
          <w:b/>
          <w:bCs/>
          <w:lang w:eastAsia="zh-CN"/>
        </w:rPr>
      </w:pPr>
      <w:r>
        <w:rPr>
          <w:rFonts w:ascii="宋体" w:hAnsi="宋体" w:cs="宋体"/>
          <w:b/>
          <w:bCs/>
          <w:lang w:eastAsia="zh-CN"/>
        </w:rPr>
        <w:t>储备粮库名称：</w:t>
      </w:r>
    </w:p>
    <w:tbl>
      <w:tblPr>
        <w:tblStyle w:val="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93"/>
        <w:gridCol w:w="2173"/>
        <w:gridCol w:w="2173"/>
        <w:gridCol w:w="2173"/>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tcBorders>
              <w:top w:val="single" w:color="666666" w:sz="6" w:space="0"/>
              <w:left w:val="single" w:color="666666" w:sz="6" w:space="0"/>
              <w:bottom w:val="single" w:color="666666" w:sz="4" w:space="0"/>
              <w:right w:val="single" w:color="666666" w:sz="4" w:space="0"/>
            </w:tcBorders>
            <w:shd w:val="clear" w:color="auto" w:fill="FFFFFF"/>
            <w:tcMar>
              <w:top w:w="38"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评审项目</w:t>
            </w:r>
          </w:p>
        </w:tc>
        <w:tc>
          <w:tcPr>
            <w:tcW w:w="2173" w:type="dxa"/>
            <w:tcBorders>
              <w:top w:val="single" w:color="666666" w:sz="6" w:space="0"/>
              <w:left w:val="single" w:color="666666" w:sz="4" w:space="0"/>
              <w:bottom w:val="single" w:color="666666" w:sz="4" w:space="0"/>
              <w:right w:val="single" w:color="666666" w:sz="4" w:space="0"/>
            </w:tcBorders>
            <w:shd w:val="clear" w:color="auto" w:fill="FFFFFF"/>
            <w:tcMar>
              <w:top w:w="38"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具体内容</w:t>
            </w:r>
          </w:p>
        </w:tc>
        <w:tc>
          <w:tcPr>
            <w:tcW w:w="2173" w:type="dxa"/>
            <w:tcBorders>
              <w:top w:val="single" w:color="666666" w:sz="6" w:space="0"/>
              <w:left w:val="single" w:color="666666" w:sz="4" w:space="0"/>
              <w:bottom w:val="single" w:color="666666" w:sz="4" w:space="0"/>
              <w:right w:val="single" w:color="666666" w:sz="4" w:space="0"/>
            </w:tcBorders>
            <w:shd w:val="clear" w:color="auto" w:fill="FFFFFF"/>
            <w:tcMar>
              <w:top w:w="38"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投标人</w:t>
            </w:r>
          </w:p>
          <w:p>
            <w:pPr>
              <w:widowControl w:val="0"/>
              <w:jc w:val="center"/>
              <w:rPr>
                <w:rFonts w:ascii="宋体" w:hAnsi="宋体" w:cs="宋体"/>
                <w:kern w:val="2"/>
              </w:rPr>
            </w:pPr>
            <w:r>
              <w:rPr>
                <w:rFonts w:hint="eastAsia" w:ascii="宋体" w:hAnsi="宋体" w:cs="宋体"/>
                <w:kern w:val="2"/>
              </w:rPr>
              <w:t>响应情况</w:t>
            </w:r>
          </w:p>
        </w:tc>
        <w:tc>
          <w:tcPr>
            <w:tcW w:w="2173" w:type="dxa"/>
            <w:tcBorders>
              <w:top w:val="single" w:color="666666" w:sz="6" w:space="0"/>
              <w:left w:val="single" w:color="666666" w:sz="4" w:space="0"/>
              <w:bottom w:val="single" w:color="666666" w:sz="4" w:space="0"/>
              <w:right w:val="single" w:color="666666" w:sz="4" w:space="0"/>
            </w:tcBorders>
            <w:shd w:val="clear" w:color="auto" w:fill="FFFFFF"/>
            <w:tcMar>
              <w:top w:w="38"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需提供的证明资料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投标粮库的仓库结构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框架结构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仓库建筑图纸等佐证材料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混合结构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864" w:hRule="atLeast"/>
        </w:trPr>
        <w:tc>
          <w:tcPr>
            <w:tcW w:w="2193" w:type="dxa"/>
            <w:vMerge w:val="restart"/>
            <w:tcBorders>
              <w:top w:val="single" w:color="666666" w:sz="4" w:space="0"/>
              <w:left w:val="single" w:color="666666" w:sz="6"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仓库建成时间或改建完成时间（有多个仓库且建成或改建时间不同的，以最新建成或改建完成时间为准）</w:t>
            </w:r>
          </w:p>
        </w:tc>
        <w:tc>
          <w:tcPr>
            <w:tcW w:w="2173" w:type="dxa"/>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2010年至2022年</w:t>
            </w:r>
            <w:bookmarkStart w:id="11" w:name="_GoBack"/>
            <w:bookmarkEnd w:id="11"/>
          </w:p>
        </w:tc>
        <w:tc>
          <w:tcPr>
            <w:tcW w:w="2173" w:type="dxa"/>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hint="default" w:ascii="宋体" w:hAnsi="宋体" w:cs="宋体"/>
                <w:kern w:val="2"/>
                <w:highlight w:val="none"/>
                <w:lang w:val="en-US"/>
              </w:rPr>
            </w:pPr>
          </w:p>
        </w:tc>
        <w:tc>
          <w:tcPr>
            <w:tcW w:w="2173" w:type="dxa"/>
            <w:vMerge w:val="restart"/>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仓库建筑图纸等佐证材料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722"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lang w:eastAsia="zh-CN"/>
              </w:rPr>
              <w:t>2000年至2009年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left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722" w:hRule="atLeast"/>
        </w:trPr>
        <w:tc>
          <w:tcPr>
            <w:tcW w:w="2193" w:type="dxa"/>
            <w:vMerge w:val="continue"/>
            <w:tcBorders>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1999年</w:t>
            </w:r>
            <w:r>
              <w:rPr>
                <w:rFonts w:hint="eastAsia" w:ascii="宋体" w:hAnsi="宋体" w:cs="宋体"/>
                <w:kern w:val="2"/>
                <w:lang w:eastAsia="zh-CN"/>
              </w:rPr>
              <w:t>及</w:t>
            </w:r>
            <w:r>
              <w:rPr>
                <w:rFonts w:hint="eastAsia" w:ascii="宋体" w:hAnsi="宋体" w:cs="宋体"/>
                <w:kern w:val="2"/>
              </w:rPr>
              <w:t>以前</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粮库存粮情况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ascii="宋体" w:hAnsi="宋体" w:cs="宋体"/>
                <w:bCs/>
                <w:kern w:val="2"/>
                <w:lang w:eastAsia="zh-CN"/>
              </w:rPr>
              <w:t>无存放</w:t>
            </w:r>
            <w:r>
              <w:rPr>
                <w:rFonts w:hint="eastAsia" w:ascii="宋体" w:hAnsi="宋体" w:cs="宋体"/>
                <w:bCs/>
                <w:kern w:val="2"/>
                <w:lang w:eastAsia="zh-CN"/>
              </w:rPr>
              <w:t>南沙区</w:t>
            </w:r>
            <w:r>
              <w:rPr>
                <w:rFonts w:ascii="宋体" w:hAnsi="宋体" w:cs="宋体"/>
                <w:bCs/>
                <w:kern w:val="2"/>
                <w:lang w:eastAsia="zh-CN"/>
              </w:rPr>
              <w:t>本级地方储备粮以外的粮食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ascii="宋体" w:hAnsi="宋体" w:cs="宋体"/>
                <w:bCs/>
                <w:kern w:val="2"/>
                <w:lang w:eastAsia="zh-CN"/>
              </w:rPr>
              <w:t>有存放</w:t>
            </w:r>
            <w:r>
              <w:rPr>
                <w:rFonts w:hint="eastAsia" w:ascii="宋体" w:hAnsi="宋体" w:cs="宋体"/>
                <w:bCs/>
                <w:kern w:val="2"/>
                <w:lang w:eastAsia="zh-CN"/>
              </w:rPr>
              <w:t>南沙区</w:t>
            </w:r>
            <w:r>
              <w:rPr>
                <w:rFonts w:ascii="宋体" w:hAnsi="宋体" w:cs="宋体"/>
                <w:bCs/>
                <w:kern w:val="2"/>
                <w:lang w:eastAsia="zh-CN"/>
              </w:rPr>
              <w:t>本级地方储备粮以外的粮食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仓容情况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本粮库总仓容在5万吨或以上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库区平面图及建筑图纸，并在《投标承诺函》中承诺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本粮库仓容5万吨（不含本数）至2万吨（含本数）</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本粮库仓容不足2万吨</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装卸设施</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配备地磅计量系统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相关设施购置发票或购买合同或租赁合同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配备机械输送设备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配备机械装卸设备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保粮设施</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配备电子测温、机械通风、烘干除杂设备、气调设备（或粮仓专用空调）</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相关设备购置发票或购买合同或租赁合同，粮仓专用空调要符合《广州市低温粮库建设管理规程（试行）》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以上设备缺少1样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以上设备缺少2样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以上设备缺少3样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无配备电子测温、机械通风、烘干除杂设备、气调设备（或粮仓专用空调）</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科学储粮</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有国家、省、市认定资质粮食防化或保管资格人员3人（含3人）以上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人员资格证书</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有国家、省、市认定资质粮食防化或保管资格人员3人以下</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无粮食防化或保管资格人员</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设有专门防化室、配备粮食质量及品质检验设备、配备粮食卫生指标检测装备（重金属铅和镉）</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防化室照片、检验设备、检测装备购置发票或购买合同或租赁合同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设有专门防化室、配备粮食质量及品质检验设备，无配备粮食卫生指标检测装备（重金属铅和镉）</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没有专门防化室和按要求配备粮食检验设备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88"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lang w:eastAsia="zh-CN"/>
              </w:rPr>
              <w:t>近3年获技术创新荣誉称号情况（只计算最高等级）</w:t>
            </w:r>
          </w:p>
        </w:tc>
        <w:tc>
          <w:tcPr>
            <w:tcW w:w="2173" w:type="dxa"/>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国家部门颁发</w:t>
            </w:r>
          </w:p>
        </w:tc>
        <w:tc>
          <w:tcPr>
            <w:tcW w:w="2173" w:type="dxa"/>
            <w:vMerge w:val="restart"/>
            <w:tcBorders>
              <w:top w:val="single" w:color="666666" w:sz="4" w:space="0"/>
              <w:left w:val="single" w:color="666666" w:sz="4" w:space="0"/>
              <w:right w:val="single" w:color="666666" w:sz="4" w:space="0"/>
            </w:tcBorders>
            <w:vAlign w:val="center"/>
          </w:tcPr>
          <w:p>
            <w:pPr>
              <w:jc w:val="center"/>
              <w:rPr>
                <w:rFonts w:ascii="宋体" w:hAnsi="宋体" w:cs="宋体"/>
                <w:kern w:val="2"/>
                <w:lang w:eastAsia="zh-CN"/>
              </w:rPr>
            </w:pPr>
            <w:r>
              <w:rPr>
                <w:rFonts w:ascii="宋体" w:hAnsi="宋体" w:cs="宋体"/>
              </w:rPr>
              <w:t>相关称号材料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87"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lang w:eastAsia="zh-CN"/>
              </w:rPr>
            </w:pPr>
          </w:p>
        </w:tc>
        <w:tc>
          <w:tcPr>
            <w:tcW w:w="2173" w:type="dxa"/>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cs="宋体"/>
                <w:bCs/>
                <w:kern w:val="2"/>
                <w:lang w:eastAsia="zh-CN"/>
              </w:rPr>
            </w:pPr>
            <w:r>
              <w:rPr>
                <w:rFonts w:hint="eastAsia" w:ascii="宋体" w:hAnsi="宋体" w:cs="宋体"/>
                <w:bCs/>
                <w:kern w:val="2"/>
                <w:lang w:eastAsia="zh-CN"/>
              </w:rPr>
              <w:t>省级部门颁发</w:t>
            </w:r>
          </w:p>
        </w:tc>
        <w:tc>
          <w:tcPr>
            <w:tcW w:w="2173" w:type="dxa"/>
            <w:vMerge w:val="continue"/>
            <w:tcBorders>
              <w:left w:val="single" w:color="666666" w:sz="4" w:space="0"/>
              <w:right w:val="single" w:color="666666" w:sz="4" w:space="0"/>
            </w:tcBorders>
            <w:vAlign w:val="center"/>
          </w:tcPr>
          <w:p>
            <w:pPr>
              <w:jc w:val="center"/>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市级部门颁发</w:t>
            </w:r>
          </w:p>
        </w:tc>
        <w:tc>
          <w:tcPr>
            <w:tcW w:w="2173" w:type="dxa"/>
            <w:vMerge w:val="continue"/>
            <w:tcBorders>
              <w:left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539" w:hRule="atLeast"/>
        </w:trPr>
        <w:tc>
          <w:tcPr>
            <w:tcW w:w="2193" w:type="dxa"/>
            <w:vMerge w:val="continue"/>
            <w:tcBorders>
              <w:left w:val="single" w:color="666666" w:sz="6" w:space="0"/>
              <w:bottom w:val="nil"/>
              <w:right w:val="single" w:color="666666" w:sz="4" w:space="0"/>
            </w:tcBorders>
            <w:shd w:val="clear" w:color="auto" w:fill="auto"/>
            <w:vAlign w:val="center"/>
          </w:tcPr>
          <w:p>
            <w:pPr>
              <w:rPr>
                <w:rFonts w:ascii="宋体" w:hAnsi="宋体" w:cs="宋体"/>
                <w:kern w:val="2"/>
                <w:lang w:eastAsia="zh-CN"/>
              </w:rPr>
            </w:pPr>
          </w:p>
        </w:tc>
        <w:tc>
          <w:tcPr>
            <w:tcW w:w="2173" w:type="dxa"/>
            <w:vMerge w:val="continue"/>
            <w:tcBorders>
              <w:left w:val="single" w:color="666666" w:sz="4" w:space="0"/>
              <w:bottom w:val="nil"/>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p>
        </w:tc>
        <w:tc>
          <w:tcPr>
            <w:tcW w:w="2173" w:type="dxa"/>
            <w:tcBorders>
              <w:top w:val="single" w:color="666666" w:sz="4" w:space="0"/>
              <w:left w:val="single" w:color="666666" w:sz="4" w:space="0"/>
              <w:bottom w:val="nil"/>
              <w:right w:val="single" w:color="666666" w:sz="4"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无获得</w:t>
            </w:r>
          </w:p>
        </w:tc>
        <w:tc>
          <w:tcPr>
            <w:tcW w:w="2173" w:type="dxa"/>
            <w:vMerge w:val="continue"/>
            <w:tcBorders>
              <w:left w:val="single" w:color="666666" w:sz="4" w:space="0"/>
              <w:bottom w:val="nil"/>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tabs>
                <w:tab w:val="left" w:pos="540"/>
                <w:tab w:val="center" w:pos="1148"/>
              </w:tabs>
              <w:rPr>
                <w:rFonts w:ascii="宋体" w:hAnsi="宋体" w:cs="宋体"/>
                <w:kern w:val="2"/>
              </w:rPr>
            </w:pPr>
            <w:r>
              <w:rPr>
                <w:rFonts w:hint="eastAsia" w:ascii="宋体" w:hAnsi="宋体" w:cs="宋体"/>
                <w:kern w:val="2"/>
                <w:lang w:eastAsia="zh-CN"/>
              </w:rPr>
              <w:tab/>
            </w:r>
            <w:r>
              <w:rPr>
                <w:rFonts w:hint="eastAsia" w:ascii="宋体" w:hAnsi="宋体" w:cs="宋体"/>
                <w:kern w:val="2"/>
                <w:lang w:eastAsia="zh-CN"/>
              </w:rPr>
              <w:tab/>
            </w:r>
            <w:r>
              <w:rPr>
                <w:rFonts w:hint="eastAsia" w:ascii="宋体" w:hAnsi="宋体" w:cs="宋体"/>
                <w:kern w:val="2"/>
              </w:rPr>
              <w:t>安全生产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近3年内无发生市级认定的安全生产事故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近3年内发生市级认定的安全生产事故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视频监控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库区内安装使用视频监控系统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建设资料或者设备照片</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854"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库区内没有安装使用视频监控系统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原粮加工工厂（广州市南沙区域内）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原粮加工能力1000吨/日或以上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工厂的产权证明或租赁合同，以及加工设备说明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原粮加工能力1000吨/日（不含本数）至500吨/日（含本数）</w:t>
            </w:r>
          </w:p>
        </w:tc>
        <w:tc>
          <w:tcPr>
            <w:tcW w:w="2173" w:type="dxa"/>
            <w:tcBorders>
              <w:top w:val="single" w:color="666666" w:sz="4" w:space="0"/>
              <w:left w:val="single" w:color="666666" w:sz="4" w:space="0"/>
              <w:bottom w:val="single" w:color="auto"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1088"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right w:val="single" w:color="auto"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原粮加工能力500吨/日（不含本数）至100吨/日（含本数）</w:t>
            </w:r>
          </w:p>
        </w:tc>
        <w:tc>
          <w:tcPr>
            <w:tcW w:w="2173"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auto"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1054"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right w:val="single" w:color="auto"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原粮加工能力不足100吨/日</w:t>
            </w:r>
          </w:p>
        </w:tc>
        <w:tc>
          <w:tcPr>
            <w:tcW w:w="2173"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auto"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无原粮加工能力</w:t>
            </w:r>
          </w:p>
        </w:tc>
        <w:tc>
          <w:tcPr>
            <w:tcW w:w="2173" w:type="dxa"/>
            <w:tcBorders>
              <w:top w:val="single" w:color="auto"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left w:val="single" w:color="666666" w:sz="4" w:space="0"/>
              <w:bottom w:val="single" w:color="666666" w:sz="4" w:space="0"/>
              <w:right w:val="single" w:color="666666" w:sz="4" w:space="0"/>
            </w:tcBorders>
            <w:vAlign w:val="center"/>
          </w:tcPr>
          <w:p>
            <w:pPr>
              <w:rPr>
                <w:rFonts w:ascii="宋体" w:hAnsi="宋体" w:cs="宋体"/>
                <w:kern w:val="2"/>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tcMar>
              <w:top w:w="34" w:type="dxa"/>
              <w:left w:w="38" w:type="dxa"/>
              <w:bottom w:w="34" w:type="dxa"/>
              <w:right w:w="34" w:type="dxa"/>
            </w:tcMar>
            <w:vAlign w:val="center"/>
          </w:tcPr>
          <w:p>
            <w:pPr>
              <w:jc w:val="center"/>
              <w:rPr>
                <w:rFonts w:ascii="宋体" w:hAnsi="宋体" w:cs="宋体"/>
                <w:kern w:val="2"/>
              </w:rPr>
            </w:pPr>
            <w:r>
              <w:rPr>
                <w:rFonts w:hint="eastAsia" w:ascii="宋体" w:hAnsi="宋体" w:cs="宋体"/>
                <w:kern w:val="2"/>
              </w:rPr>
              <w:t>粮食营运能力</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承储过</w:t>
            </w:r>
            <w:r>
              <w:rPr>
                <w:rFonts w:hint="eastAsia" w:ascii="宋体" w:hAnsi="宋体" w:cs="宋体"/>
                <w:bCs/>
                <w:kern w:val="2"/>
                <w:lang w:eastAsia="zh-CN"/>
              </w:rPr>
              <w:t>市</w:t>
            </w:r>
            <w:r>
              <w:rPr>
                <w:rFonts w:ascii="宋体" w:hAnsi="宋体" w:cs="宋体"/>
                <w:bCs/>
                <w:kern w:val="2"/>
                <w:lang w:eastAsia="zh-CN"/>
              </w:rPr>
              <w:t>/</w:t>
            </w:r>
            <w:r>
              <w:rPr>
                <w:rFonts w:hint="eastAsia" w:ascii="宋体" w:hAnsi="宋体" w:cs="宋体"/>
                <w:bCs/>
                <w:kern w:val="2"/>
                <w:lang w:eastAsia="zh-CN"/>
              </w:rPr>
              <w:t>区本级</w:t>
            </w:r>
            <w:r>
              <w:rPr>
                <w:rFonts w:hint="eastAsia" w:ascii="宋体" w:hAnsi="宋体" w:cs="宋体"/>
                <w:kern w:val="2"/>
                <w:lang w:eastAsia="zh-CN"/>
              </w:rPr>
              <w:t>储备小麦</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提供相关承储合同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未曾承储过</w:t>
            </w:r>
            <w:r>
              <w:rPr>
                <w:rFonts w:hint="eastAsia" w:ascii="宋体" w:hAnsi="宋体" w:cs="宋体"/>
                <w:bCs/>
                <w:kern w:val="2"/>
                <w:lang w:eastAsia="zh-CN"/>
              </w:rPr>
              <w:t>市</w:t>
            </w:r>
            <w:r>
              <w:rPr>
                <w:rFonts w:ascii="宋体" w:hAnsi="宋体" w:cs="宋体"/>
                <w:bCs/>
                <w:kern w:val="2"/>
                <w:lang w:eastAsia="zh-CN"/>
              </w:rPr>
              <w:t>/</w:t>
            </w:r>
            <w:r>
              <w:rPr>
                <w:rFonts w:hint="eastAsia" w:ascii="宋体" w:hAnsi="宋体" w:cs="宋体"/>
                <w:bCs/>
                <w:kern w:val="2"/>
                <w:lang w:eastAsia="zh-CN"/>
              </w:rPr>
              <w:t>区本级</w:t>
            </w:r>
            <w:r>
              <w:rPr>
                <w:rFonts w:hint="eastAsia" w:ascii="宋体" w:hAnsi="宋体" w:cs="宋体"/>
                <w:kern w:val="2"/>
                <w:lang w:eastAsia="zh-CN"/>
              </w:rPr>
              <w:t>储备小麦</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bCs/>
                <w:kern w:val="2"/>
                <w:lang w:eastAsia="zh-CN"/>
              </w:rPr>
              <w:t>近3年获粮农业内运营示范引领企业称号情况（只计算最高等级等级）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bCs/>
                <w:kern w:val="2"/>
                <w:lang w:eastAsia="zh-CN"/>
              </w:rPr>
              <w:t>国家部门颁发（如农业产业化国家重点龙头企业）</w:t>
            </w:r>
          </w:p>
        </w:tc>
        <w:tc>
          <w:tcPr>
            <w:tcW w:w="2173" w:type="dxa"/>
            <w:vMerge w:val="restart"/>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jc w:val="center"/>
              <w:rPr>
                <w:rFonts w:ascii="宋体" w:hAnsi="宋体" w:cs="宋体"/>
                <w:kern w:val="2"/>
              </w:rPr>
            </w:pPr>
            <w:r>
              <w:rPr>
                <w:rFonts w:ascii="宋体" w:hAnsi="宋体" w:cs="宋体"/>
                <w:kern w:val="2"/>
              </w:rPr>
              <w:t>相关称号材料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bCs/>
                <w:kern w:val="2"/>
                <w:lang w:eastAsia="zh-CN"/>
              </w:rPr>
              <w:t>省级部门颁发（如广东省重点农业龙头企业）</w:t>
            </w:r>
          </w:p>
        </w:tc>
        <w:tc>
          <w:tcPr>
            <w:tcW w:w="2173" w:type="dxa"/>
            <w:vMerge w:val="continue"/>
            <w:tcBorders>
              <w:left w:val="single" w:color="666666" w:sz="4" w:space="0"/>
              <w:right w:val="single" w:color="666666" w:sz="4" w:space="0"/>
            </w:tcBorders>
            <w:shd w:val="clear" w:color="auto" w:fill="FFFFFF"/>
            <w:tcMar>
              <w:top w:w="34" w:type="dxa"/>
              <w:left w:w="34" w:type="dxa"/>
              <w:bottom w:w="34" w:type="dxa"/>
              <w:right w:w="34" w:type="dxa"/>
            </w:tcMar>
            <w:vAlign w:val="center"/>
          </w:tcPr>
          <w:p>
            <w:pPr>
              <w:jc w:val="cente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bCs/>
                <w:kern w:val="2"/>
                <w:lang w:eastAsia="zh-CN"/>
              </w:rPr>
              <w:t>市级部门颁发（如广州市农业龙头企业）</w:t>
            </w:r>
          </w:p>
        </w:tc>
        <w:tc>
          <w:tcPr>
            <w:tcW w:w="2173" w:type="dxa"/>
            <w:vMerge w:val="continue"/>
            <w:tcBorders>
              <w:left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bCs/>
                <w:kern w:val="2"/>
                <w:lang w:eastAsia="zh-CN"/>
              </w:rPr>
            </w:pPr>
            <w:r>
              <w:rPr>
                <w:rFonts w:hint="eastAsia" w:ascii="宋体" w:hAnsi="宋体" w:cs="宋体"/>
                <w:bCs/>
                <w:kern w:val="2"/>
                <w:lang w:eastAsia="zh-CN"/>
              </w:rPr>
              <w:t>无获得</w:t>
            </w:r>
          </w:p>
        </w:tc>
        <w:tc>
          <w:tcPr>
            <w:tcW w:w="2173" w:type="dxa"/>
            <w:vMerge w:val="continue"/>
            <w:tcBorders>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jc w:val="center"/>
              <w:rPr>
                <w:rFonts w:ascii="宋体" w:hAnsi="宋体" w:cs="宋体"/>
                <w:kern w:val="2"/>
              </w:rPr>
            </w:pPr>
            <w:r>
              <w:rPr>
                <w:rFonts w:hint="eastAsia" w:ascii="宋体" w:hAnsi="宋体" w:cs="宋体"/>
                <w:kern w:val="2"/>
              </w:rPr>
              <w:t>网上交易粮食情况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市本级或南沙区级储备粮承储企业在具有交易场所资质的第三方规范平台网上交易粮食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jc w:val="center"/>
              <w:rPr>
                <w:rFonts w:ascii="宋体" w:hAnsi="宋体" w:cs="宋体"/>
                <w:kern w:val="2"/>
                <w:lang w:eastAsia="zh-CN"/>
              </w:rPr>
            </w:pPr>
            <w:r>
              <w:rPr>
                <w:rFonts w:hint="eastAsia" w:ascii="宋体" w:hAnsi="宋体" w:cs="宋体"/>
                <w:kern w:val="2"/>
                <w:lang w:eastAsia="zh-CN"/>
              </w:rPr>
              <w:t>承储企业：提供相关承储合同、交易平台出具的交易凭证；</w:t>
            </w:r>
          </w:p>
          <w:p>
            <w:pPr>
              <w:jc w:val="center"/>
              <w:rPr>
                <w:rFonts w:ascii="宋体" w:hAnsi="宋体" w:cs="宋体"/>
                <w:kern w:val="2"/>
                <w:lang w:eastAsia="zh-CN"/>
              </w:rPr>
            </w:pPr>
            <w:r>
              <w:rPr>
                <w:rFonts w:hint="eastAsia" w:ascii="宋体" w:hAnsi="宋体" w:cs="宋体"/>
                <w:kern w:val="2"/>
                <w:lang w:eastAsia="zh-CN"/>
              </w:rPr>
              <w:t>非承储企业：提供网上交易情况或交易计划</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jc w:val="cente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在企业门户网站发布粮食交易信息</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jc w:val="cente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无网上交易粮食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未成为市本级或南沙区级储备粮承储企业，但有网上交易粮食或网上交易需求的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粮食应急加工</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投标人具备广州市粮食应急加工资格</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以市发改委最新发布的《广州市粮食应急网络名录》为准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投标人没有广州市粮食应急加工资格</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top w:val="single" w:color="666666" w:sz="4" w:space="0"/>
              <w:left w:val="single" w:color="666666" w:sz="6" w:space="0"/>
              <w:right w:val="single" w:color="666666" w:sz="4" w:space="0"/>
            </w:tcBorders>
            <w:shd w:val="clear" w:color="auto" w:fill="auto"/>
            <w:vAlign w:val="center"/>
          </w:tcPr>
          <w:p>
            <w:pPr>
              <w:jc w:val="center"/>
              <w:rPr>
                <w:rFonts w:ascii="宋体" w:hAnsi="宋体" w:cs="宋体"/>
                <w:kern w:val="2"/>
                <w:lang w:eastAsia="zh-CN"/>
              </w:rPr>
            </w:pPr>
            <w:r>
              <w:rPr>
                <w:rFonts w:hint="eastAsia" w:ascii="宋体" w:hAnsi="宋体" w:cs="宋体"/>
                <w:bCs/>
                <w:kern w:val="2"/>
                <w:lang w:eastAsia="zh-CN"/>
              </w:rPr>
              <w:t>响应距离</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bCs/>
                <w:kern w:val="2"/>
                <w:lang w:eastAsia="zh-CN"/>
              </w:rPr>
              <w:t>从库区到南沙区政府的汽运距离：响应距离＜</w:t>
            </w:r>
            <w:r>
              <w:rPr>
                <w:rFonts w:ascii="宋体" w:hAnsi="宋体" w:cs="宋体"/>
                <w:bCs/>
                <w:kern w:val="2"/>
                <w:lang w:eastAsia="zh-CN"/>
              </w:rPr>
              <w:t>20</w:t>
            </w:r>
            <w:r>
              <w:rPr>
                <w:rFonts w:hint="eastAsia" w:ascii="宋体" w:hAnsi="宋体" w:cs="宋体"/>
                <w:bCs/>
                <w:kern w:val="2"/>
                <w:lang w:eastAsia="zh-CN"/>
              </w:rPr>
              <w:t>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vAlign w:val="center"/>
          </w:tcPr>
          <w:p>
            <w:pPr>
              <w:rPr>
                <w:rFonts w:ascii="宋体" w:hAnsi="宋体" w:cs="宋体"/>
                <w:kern w:val="2"/>
                <w:lang w:eastAsia="zh-CN"/>
              </w:rPr>
            </w:pPr>
            <w:r>
              <w:rPr>
                <w:rFonts w:ascii="宋体" w:hAnsi="宋体" w:cs="宋体"/>
                <w:kern w:val="2"/>
                <w:lang w:eastAsia="zh-CN"/>
              </w:rPr>
              <w:t>提供投标粮库与</w:t>
            </w:r>
            <w:r>
              <w:rPr>
                <w:rFonts w:hint="eastAsia" w:ascii="宋体" w:hAnsi="宋体" w:cs="宋体"/>
                <w:kern w:val="2"/>
                <w:lang w:eastAsia="zh-CN"/>
              </w:rPr>
              <w:t>南沙</w:t>
            </w:r>
            <w:r>
              <w:rPr>
                <w:rFonts w:ascii="宋体" w:hAnsi="宋体" w:cs="宋体"/>
                <w:kern w:val="2"/>
                <w:lang w:eastAsia="zh-CN"/>
              </w:rPr>
              <w:t>区政府的距离截图（距离计算以高德地图驾车路线的推荐方案中最短公里数为准）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bCs/>
                <w:kern w:val="2"/>
                <w:lang w:eastAsia="zh-CN"/>
              </w:rPr>
            </w:pPr>
            <w:r>
              <w:rPr>
                <w:rFonts w:ascii="宋体" w:hAnsi="宋体" w:cs="宋体"/>
                <w:bCs/>
                <w:kern w:val="2"/>
                <w:lang w:eastAsia="zh-CN"/>
              </w:rPr>
              <w:t>20</w:t>
            </w:r>
            <w:r>
              <w:rPr>
                <w:rFonts w:hint="eastAsia" w:ascii="宋体" w:hAnsi="宋体" w:cs="宋体"/>
                <w:bCs/>
                <w:kern w:val="2"/>
                <w:lang w:eastAsia="zh-CN"/>
              </w:rPr>
              <w:t>公里≤响应距离＜</w:t>
            </w:r>
            <w:r>
              <w:rPr>
                <w:rFonts w:ascii="宋体" w:hAnsi="宋体" w:cs="宋体"/>
                <w:bCs/>
                <w:kern w:val="2"/>
                <w:lang w:eastAsia="zh-CN"/>
              </w:rPr>
              <w:t>30</w:t>
            </w:r>
            <w:r>
              <w:rPr>
                <w:rFonts w:hint="eastAsia" w:ascii="宋体" w:hAnsi="宋体" w:cs="宋体"/>
                <w:bCs/>
                <w:kern w:val="2"/>
                <w:lang w:eastAsia="zh-CN"/>
              </w:rPr>
              <w:t>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bCs/>
                <w:kern w:val="2"/>
                <w:lang w:eastAsia="zh-CN"/>
              </w:rPr>
            </w:pPr>
            <w:r>
              <w:rPr>
                <w:rFonts w:ascii="宋体" w:hAnsi="宋体" w:cs="宋体"/>
                <w:bCs/>
                <w:kern w:val="2"/>
                <w:lang w:eastAsia="zh-CN"/>
              </w:rPr>
              <w:t>30</w:t>
            </w:r>
            <w:r>
              <w:rPr>
                <w:rFonts w:hint="eastAsia" w:ascii="宋体" w:hAnsi="宋体" w:cs="宋体"/>
                <w:bCs/>
                <w:kern w:val="2"/>
                <w:lang w:eastAsia="zh-CN"/>
              </w:rPr>
              <w:t>公里≤响应距离＜</w:t>
            </w:r>
            <w:r>
              <w:rPr>
                <w:rFonts w:ascii="宋体" w:hAnsi="宋体" w:cs="宋体"/>
                <w:bCs/>
                <w:kern w:val="2"/>
                <w:lang w:eastAsia="zh-CN"/>
              </w:rPr>
              <w:t>40</w:t>
            </w:r>
            <w:r>
              <w:rPr>
                <w:rFonts w:hint="eastAsia" w:ascii="宋体" w:hAnsi="宋体" w:cs="宋体"/>
                <w:bCs/>
                <w:kern w:val="2"/>
                <w:lang w:eastAsia="zh-CN"/>
              </w:rPr>
              <w:t>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both"/>
              <w:rPr>
                <w:rFonts w:ascii="宋体" w:hAnsi="宋体" w:cs="宋体"/>
                <w:bCs/>
                <w:kern w:val="2"/>
                <w:lang w:eastAsia="zh-CN"/>
              </w:rPr>
            </w:pPr>
            <w:r>
              <w:rPr>
                <w:rFonts w:hint="eastAsia" w:ascii="宋体" w:hAnsi="宋体" w:cs="宋体"/>
                <w:bCs/>
                <w:kern w:val="2"/>
                <w:lang w:eastAsia="zh-CN"/>
              </w:rPr>
              <w:t>响应距离≥</w:t>
            </w:r>
            <w:r>
              <w:rPr>
                <w:rFonts w:ascii="宋体" w:hAnsi="宋体" w:cs="宋体"/>
                <w:bCs/>
                <w:kern w:val="2"/>
                <w:lang w:eastAsia="zh-CN"/>
              </w:rPr>
              <w:t>40</w:t>
            </w:r>
            <w:r>
              <w:rPr>
                <w:rFonts w:hint="eastAsia" w:ascii="宋体" w:hAnsi="宋体" w:cs="宋体"/>
                <w:bCs/>
                <w:kern w:val="2"/>
                <w:lang w:eastAsia="zh-CN"/>
              </w:rPr>
              <w:t>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restart"/>
            <w:tcBorders>
              <w:left w:val="single" w:color="666666" w:sz="6" w:space="0"/>
              <w:right w:val="single" w:color="666666" w:sz="4" w:space="0"/>
            </w:tcBorders>
            <w:shd w:val="clear" w:color="auto" w:fill="auto"/>
            <w:vAlign w:val="center"/>
          </w:tcPr>
          <w:p>
            <w:pPr>
              <w:jc w:val="center"/>
              <w:rPr>
                <w:rFonts w:ascii="宋体" w:hAnsi="宋体" w:cs="宋体"/>
                <w:bCs/>
                <w:kern w:val="2"/>
                <w:lang w:eastAsia="zh-CN"/>
              </w:rPr>
            </w:pPr>
            <w:r>
              <w:rPr>
                <w:rFonts w:ascii="宋体" w:hAnsi="宋体" w:cs="宋体"/>
                <w:bCs/>
                <w:kern w:val="2"/>
                <w:lang w:eastAsia="zh-CN"/>
              </w:rPr>
              <w:t>2016至2020年在市本级储备粮油管理绩效评价</w:t>
            </w:r>
          </w:p>
        </w:tc>
        <w:tc>
          <w:tcPr>
            <w:tcW w:w="2173" w:type="dxa"/>
            <w:vMerge w:val="restart"/>
            <w:tcBorders>
              <w:top w:val="single" w:color="666666" w:sz="4" w:space="0"/>
              <w:left w:val="single" w:color="666666" w:sz="4" w:space="0"/>
              <w:right w:val="single" w:color="666666" w:sz="4" w:space="0"/>
            </w:tcBorders>
            <w:shd w:val="clear" w:color="auto" w:fill="FFFFFF"/>
            <w:tcMar>
              <w:top w:w="34" w:type="dxa"/>
              <w:left w:w="34" w:type="dxa"/>
              <w:bottom w:w="34" w:type="dxa"/>
              <w:right w:w="34" w:type="dxa"/>
            </w:tcMar>
            <w:vAlign w:val="center"/>
          </w:tcPr>
          <w:p>
            <w:pPr>
              <w:jc w:val="center"/>
              <w:rPr>
                <w:rFonts w:ascii="宋体" w:hAnsi="宋体" w:cs="宋体"/>
                <w:color w:val="333333"/>
              </w:rPr>
            </w:pPr>
            <w:r>
              <w:rPr>
                <w:rFonts w:ascii="宋体" w:hAnsi="宋体" w:cs="宋体"/>
                <w:color w:val="333333"/>
              </w:rPr>
              <w:t>2016至2018年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color w:val="333333"/>
              </w:rPr>
            </w:pPr>
            <w:r>
              <w:rPr>
                <w:rFonts w:ascii="宋体" w:hAnsi="宋体" w:cs="宋体"/>
                <w:color w:val="333333"/>
                <w:u w:val="single" w:color="333333"/>
              </w:rPr>
              <w:t xml:space="preserve">   </w:t>
            </w:r>
            <w:r>
              <w:rPr>
                <w:rFonts w:ascii="宋体" w:hAnsi="宋体" w:cs="宋体"/>
                <w:color w:val="333333"/>
              </w:rPr>
              <w:t>次优秀</w:t>
            </w:r>
          </w:p>
        </w:tc>
        <w:tc>
          <w:tcPr>
            <w:tcW w:w="2173" w:type="dxa"/>
            <w:vMerge w:val="restart"/>
            <w:tcBorders>
              <w:left w:val="single" w:color="666666" w:sz="4" w:space="0"/>
              <w:right w:val="single" w:color="666666" w:sz="4" w:space="0"/>
            </w:tcBorders>
            <w:vAlign w:val="center"/>
          </w:tcPr>
          <w:p>
            <w:pPr>
              <w:widowControl w:val="0"/>
              <w:jc w:val="center"/>
              <w:rPr>
                <w:rFonts w:ascii="宋体" w:hAnsi="宋体" w:cs="宋体"/>
                <w:color w:val="333333"/>
                <w:lang w:eastAsia="zh-CN"/>
              </w:rPr>
            </w:pPr>
            <w:r>
              <w:rPr>
                <w:rFonts w:ascii="宋体" w:hAnsi="宋体" w:cs="宋体"/>
                <w:color w:val="333333"/>
                <w:lang w:eastAsia="zh-CN"/>
              </w:rPr>
              <w:t>2016至2018年市本级储备粮油管理绩效评价的通报文件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jc w:val="center"/>
              <w:rPr>
                <w:rFonts w:ascii="宋体" w:hAnsi="宋体" w:cs="宋体"/>
                <w:bCs/>
                <w:kern w:val="2"/>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rPr>
                <w:rFonts w:ascii="宋体" w:hAnsi="宋体" w:cs="宋体"/>
                <w:color w:val="333333"/>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color w:val="333333"/>
              </w:rPr>
            </w:pPr>
            <w:r>
              <w:rPr>
                <w:rFonts w:ascii="宋体" w:hAnsi="宋体" w:cs="宋体"/>
                <w:color w:val="333333"/>
                <w:u w:val="single" w:color="333333"/>
                <w:lang w:eastAsia="zh-CN"/>
              </w:rPr>
              <w:t xml:space="preserve">   </w:t>
            </w:r>
            <w:r>
              <w:rPr>
                <w:rFonts w:ascii="宋体" w:hAnsi="宋体" w:cs="宋体"/>
                <w:color w:val="333333"/>
              </w:rPr>
              <w:t>次良好</w:t>
            </w:r>
          </w:p>
        </w:tc>
        <w:tc>
          <w:tcPr>
            <w:tcW w:w="2173" w:type="dxa"/>
            <w:vMerge w:val="continue"/>
            <w:tcBorders>
              <w:left w:val="single" w:color="666666" w:sz="4" w:space="0"/>
              <w:bottom w:val="single" w:color="666666" w:sz="4" w:space="0"/>
              <w:right w:val="single" w:color="666666" w:sz="4" w:space="0"/>
            </w:tcBorders>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0" w:hRule="atLeast"/>
        </w:trPr>
        <w:tc>
          <w:tcPr>
            <w:tcW w:w="2193" w:type="dxa"/>
            <w:vMerge w:val="continue"/>
            <w:tcBorders>
              <w:left w:val="single" w:color="666666" w:sz="6" w:space="0"/>
              <w:right w:val="single" w:color="666666" w:sz="4" w:space="0"/>
            </w:tcBorders>
            <w:shd w:val="clear" w:color="auto" w:fill="auto"/>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color w:val="333333"/>
              </w:rPr>
            </w:pPr>
            <w:r>
              <w:rPr>
                <w:rFonts w:ascii="宋体" w:hAnsi="宋体" w:cs="宋体"/>
                <w:color w:val="333333"/>
              </w:rPr>
              <w:t>2019年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color w:val="333333"/>
              </w:rPr>
            </w:pPr>
          </w:p>
        </w:tc>
        <w:tc>
          <w:tcPr>
            <w:tcW w:w="2173" w:type="dxa"/>
            <w:vMerge w:val="restart"/>
            <w:tcBorders>
              <w:left w:val="single" w:color="666666" w:sz="4" w:space="0"/>
              <w:right w:val="single" w:color="666666" w:sz="4" w:space="0"/>
            </w:tcBorders>
            <w:vAlign w:val="center"/>
          </w:tcPr>
          <w:p>
            <w:pPr>
              <w:jc w:val="center"/>
              <w:rPr>
                <w:rFonts w:ascii="宋体" w:hAnsi="宋体" w:cs="宋体"/>
                <w:color w:val="333333"/>
                <w:lang w:eastAsia="zh-CN"/>
              </w:rPr>
            </w:pPr>
            <w:r>
              <w:rPr>
                <w:rFonts w:ascii="宋体" w:hAnsi="宋体" w:cs="宋体"/>
                <w:color w:val="333333"/>
                <w:lang w:eastAsia="zh-CN"/>
              </w:rPr>
              <w:t>2019-2020年市本级储备粮油管理绩效评价的通报文件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color w:val="333333"/>
              </w:rPr>
            </w:pPr>
            <w:r>
              <w:rPr>
                <w:rFonts w:ascii="宋体" w:hAnsi="宋体" w:cs="宋体"/>
                <w:color w:val="333333"/>
              </w:rPr>
              <w:t>2020年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tcMar>
              <w:top w:w="34" w:type="dxa"/>
              <w:left w:w="34" w:type="dxa"/>
              <w:bottom w:w="34" w:type="dxa"/>
              <w:right w:w="34" w:type="dxa"/>
            </w:tcMar>
            <w:vAlign w:val="center"/>
          </w:tcPr>
          <w:p>
            <w:pPr>
              <w:widowControl w:val="0"/>
              <w:jc w:val="center"/>
              <w:rPr>
                <w:rFonts w:ascii="宋体" w:hAnsi="宋体" w:cs="宋体"/>
                <w:color w:val="333333"/>
              </w:rPr>
            </w:pPr>
          </w:p>
        </w:tc>
        <w:tc>
          <w:tcPr>
            <w:tcW w:w="2173" w:type="dxa"/>
            <w:vMerge w:val="continue"/>
            <w:tcBorders>
              <w:left w:val="single" w:color="666666" w:sz="4" w:space="0"/>
              <w:bottom w:val="single" w:color="666666" w:sz="4" w:space="0"/>
              <w:right w:val="single" w:color="666666" w:sz="4" w:space="0"/>
            </w:tcBorders>
            <w:vAlign w:val="center"/>
          </w:tcPr>
          <w:p>
            <w:pPr>
              <w:rPr>
                <w:rFonts w:ascii="宋体" w:hAnsi="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366" w:type="dxa"/>
            <w:gridSpan w:val="2"/>
            <w:tcBorders>
              <w:top w:val="single" w:color="666666" w:sz="4" w:space="0"/>
              <w:left w:val="single" w:color="666666" w:sz="6" w:space="0"/>
              <w:bottom w:val="single" w:color="666666" w:sz="6" w:space="0"/>
              <w:right w:val="single" w:color="666666" w:sz="4" w:space="0"/>
            </w:tcBorders>
            <w:shd w:val="clear" w:color="auto" w:fill="FFFFFF"/>
            <w:tcMar>
              <w:top w:w="34" w:type="dxa"/>
              <w:left w:w="38" w:type="dxa"/>
              <w:bottom w:w="38"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对不良信用记录的扣分</w:t>
            </w:r>
          </w:p>
        </w:tc>
        <w:tc>
          <w:tcPr>
            <w:tcW w:w="4346" w:type="dxa"/>
            <w:gridSpan w:val="2"/>
            <w:tcBorders>
              <w:top w:val="single" w:color="666666" w:sz="4" w:space="0"/>
              <w:left w:val="nil"/>
              <w:bottom w:val="single" w:color="666666" w:sz="6" w:space="0"/>
              <w:right w:val="single" w:color="666666" w:sz="4" w:space="0"/>
            </w:tcBorders>
            <w:shd w:val="clear" w:color="auto" w:fill="FFFFFF"/>
            <w:tcMar>
              <w:top w:w="34" w:type="dxa"/>
              <w:left w:w="34" w:type="dxa"/>
              <w:bottom w:w="38"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评审时由评标委员会查询</w:t>
            </w:r>
          </w:p>
        </w:tc>
      </w:tr>
    </w:tbl>
    <w:p>
      <w:pPr>
        <w:widowControl w:val="0"/>
        <w:spacing w:after="200" w:line="360" w:lineRule="auto"/>
        <w:jc w:val="both"/>
        <w:rPr>
          <w:rFonts w:ascii="宋体" w:hAnsi="宋体" w:cs="宋体"/>
          <w:lang w:eastAsia="zh-CN"/>
        </w:rPr>
      </w:pPr>
    </w:p>
    <w:p>
      <w:pPr>
        <w:widowControl w:val="0"/>
        <w:spacing w:after="200" w:line="360" w:lineRule="auto"/>
        <w:jc w:val="both"/>
        <w:rPr>
          <w:rFonts w:ascii="宋体" w:hAnsi="宋体" w:cs="宋体"/>
          <w:lang w:eastAsia="zh-CN"/>
        </w:rPr>
      </w:pPr>
      <w:r>
        <w:rPr>
          <w:rFonts w:ascii="宋体" w:hAnsi="宋体" w:cs="宋体"/>
          <w:lang w:eastAsia="zh-CN"/>
        </w:rPr>
        <w:t>填报要求：</w:t>
      </w:r>
    </w:p>
    <w:p>
      <w:pPr>
        <w:widowControl w:val="0"/>
        <w:spacing w:after="200" w:line="360" w:lineRule="auto"/>
        <w:jc w:val="both"/>
        <w:rPr>
          <w:rFonts w:ascii="宋体" w:hAnsi="宋体" w:cs="宋体"/>
          <w:lang w:eastAsia="zh-CN"/>
        </w:rPr>
      </w:pPr>
      <w:r>
        <w:rPr>
          <w:rFonts w:ascii="宋体" w:hAnsi="宋体" w:cs="宋体"/>
          <w:lang w:eastAsia="zh-CN"/>
        </w:rPr>
        <w:t>1.请投标人正确填写本表，并提供表中所需要的证明资料，所填内容将作为评分的依据。其内容或数据应与对应的证明资料相符，如果不一致，可能导致该项的得分为0分。</w:t>
      </w:r>
    </w:p>
    <w:p>
      <w:pPr>
        <w:widowControl w:val="0"/>
        <w:spacing w:after="200" w:line="360" w:lineRule="auto"/>
        <w:jc w:val="both"/>
        <w:rPr>
          <w:rFonts w:ascii="宋体" w:hAnsi="宋体" w:cs="宋体"/>
          <w:lang w:eastAsia="zh-CN"/>
        </w:rPr>
      </w:pPr>
      <w:r>
        <w:rPr>
          <w:rFonts w:ascii="宋体" w:hAnsi="宋体" w:cs="宋体"/>
          <w:lang w:eastAsia="zh-CN"/>
        </w:rPr>
        <w:t>2. 请投标人根据自身实际情况，在评审项目中对应的“投标人响应情况”列内打“√”。</w:t>
      </w:r>
    </w:p>
    <w:p>
      <w:pPr>
        <w:widowControl w:val="0"/>
        <w:spacing w:after="200" w:line="360" w:lineRule="auto"/>
        <w:jc w:val="center"/>
        <w:rPr>
          <w:rFonts w:ascii="宋体" w:hAnsi="宋体" w:cs="宋体"/>
          <w:sz w:val="28"/>
          <w:szCs w:val="28"/>
          <w:lang w:eastAsia="zh-CN"/>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60" w:lineRule="auto"/>
        <w:ind w:right="80" w:firstLine="1920"/>
        <w:jc w:val="both"/>
        <w:rPr>
          <w:rFonts w:ascii="宋体" w:hAnsi="宋体" w:cs="宋体"/>
          <w:lang w:eastAsia="zh-CN"/>
        </w:rPr>
      </w:pPr>
    </w:p>
    <w:p>
      <w:pPr>
        <w:widowControl w:val="0"/>
        <w:spacing w:line="360" w:lineRule="auto"/>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日期：    年   月   日</w:t>
      </w:r>
    </w:p>
    <w:p>
      <w:pPr>
        <w:pStyle w:val="4"/>
        <w:keepNext w:val="0"/>
        <w:spacing w:before="75" w:after="75" w:line="480" w:lineRule="atLeast"/>
        <w:jc w:val="center"/>
        <w:rPr>
          <w:rFonts w:ascii="宋体" w:hAnsi="宋体" w:eastAsia="宋体" w:cs="宋体"/>
          <w:lang w:eastAsia="zh-CN"/>
        </w:rPr>
      </w:pPr>
      <w:bookmarkStart w:id="4" w:name="_Toc96953571"/>
      <w:r>
        <w:rPr>
          <w:rFonts w:ascii="宋体" w:hAnsi="宋体" w:eastAsia="宋体" w:cs="宋体"/>
          <w:iCs w:val="0"/>
          <w:lang w:eastAsia="zh-CN"/>
        </w:rPr>
        <w:t>★粮库的产权证明或当地县（区）级粮食行政主管部门开具的使用权证明</w:t>
      </w:r>
      <w:bookmarkEnd w:id="4"/>
    </w:p>
    <w:p>
      <w:pPr>
        <w:widowControl w:val="0"/>
        <w:spacing w:after="200" w:line="276" w:lineRule="auto"/>
        <w:jc w:val="both"/>
        <w:rPr>
          <w:rFonts w:ascii="宋体" w:hAnsi="宋体" w:cs="宋体"/>
          <w:sz w:val="21"/>
          <w:szCs w:val="21"/>
          <w:lang w:eastAsia="zh-CN"/>
        </w:rPr>
      </w:pPr>
    </w:p>
    <w:p>
      <w:pPr>
        <w:widowControl w:val="0"/>
        <w:rPr>
          <w:rFonts w:ascii="宋体" w:hAnsi="宋体" w:cs="宋体"/>
          <w:sz w:val="21"/>
          <w:szCs w:val="21"/>
          <w:lang w:eastAsia="zh-CN"/>
        </w:rPr>
        <w:sectPr>
          <w:pgSz w:w="12240" w:h="15840"/>
          <w:pgMar w:top="1440" w:right="1800" w:bottom="1440" w:left="1800" w:header="720" w:footer="720" w:gutter="0"/>
          <w:cols w:space="720" w:num="1"/>
        </w:sectPr>
      </w:pPr>
      <w:r>
        <w:rPr>
          <w:rFonts w:ascii="宋体" w:hAnsi="宋体" w:cs="宋体"/>
          <w:sz w:val="21"/>
          <w:szCs w:val="21"/>
          <w:lang w:eastAsia="zh-CN"/>
        </w:rPr>
        <w:t>（请提供相关证明）</w:t>
      </w:r>
    </w:p>
    <w:p>
      <w:pPr>
        <w:pStyle w:val="4"/>
        <w:keepNext w:val="0"/>
        <w:spacing w:before="75" w:after="75" w:line="480" w:lineRule="atLeast"/>
        <w:jc w:val="center"/>
        <w:rPr>
          <w:rFonts w:ascii="宋体" w:hAnsi="宋体" w:eastAsia="宋体" w:cs="宋体"/>
          <w:lang w:eastAsia="zh-CN"/>
        </w:rPr>
      </w:pPr>
      <w:bookmarkStart w:id="5" w:name="_Toc96953572"/>
      <w:r>
        <w:rPr>
          <w:rFonts w:ascii="宋体" w:hAnsi="宋体" w:eastAsia="宋体" w:cs="宋体"/>
          <w:iCs w:val="0"/>
          <w:lang w:eastAsia="zh-CN"/>
        </w:rPr>
        <w:t>★广东省粮油仓储单位备案管理登记证或广东省粮油企业管理系统备案证明</w:t>
      </w:r>
      <w:bookmarkEnd w:id="5"/>
    </w:p>
    <w:p>
      <w:pPr>
        <w:widowControl w:val="0"/>
        <w:spacing w:after="200" w:line="276" w:lineRule="auto"/>
        <w:jc w:val="both"/>
        <w:rPr>
          <w:rFonts w:ascii="宋体" w:hAnsi="宋体" w:cs="宋体"/>
          <w:sz w:val="21"/>
          <w:szCs w:val="21"/>
          <w:lang w:eastAsia="zh-CN"/>
        </w:rPr>
      </w:pPr>
    </w:p>
    <w:p>
      <w:pPr>
        <w:widowControl w:val="0"/>
        <w:rPr>
          <w:rFonts w:ascii="宋体" w:hAnsi="宋体" w:cs="宋体"/>
          <w:sz w:val="21"/>
          <w:szCs w:val="21"/>
          <w:lang w:eastAsia="zh-CN"/>
        </w:rPr>
        <w:sectPr>
          <w:pgSz w:w="12240" w:h="15840"/>
          <w:pgMar w:top="1440" w:right="1800" w:bottom="1440" w:left="1800" w:header="720" w:footer="720" w:gutter="0"/>
          <w:cols w:space="720" w:num="1"/>
        </w:sectPr>
      </w:pPr>
      <w:r>
        <w:rPr>
          <w:rFonts w:ascii="宋体" w:hAnsi="宋体" w:cs="宋体"/>
          <w:sz w:val="21"/>
          <w:szCs w:val="21"/>
          <w:lang w:eastAsia="zh-CN"/>
        </w:rPr>
        <w:t>（请提供相关证明）</w:t>
      </w:r>
    </w:p>
    <w:p>
      <w:pPr>
        <w:pStyle w:val="4"/>
        <w:keepNext w:val="0"/>
        <w:spacing w:before="75" w:after="75" w:line="480" w:lineRule="atLeast"/>
        <w:jc w:val="center"/>
        <w:rPr>
          <w:rFonts w:ascii="宋体" w:hAnsi="宋体" w:eastAsia="宋体" w:cs="宋体"/>
          <w:lang w:eastAsia="zh-CN"/>
        </w:rPr>
      </w:pPr>
      <w:bookmarkStart w:id="6" w:name="_Toc96953573"/>
      <w:r>
        <w:rPr>
          <w:rFonts w:ascii="宋体" w:hAnsi="宋体" w:eastAsia="宋体" w:cs="宋体"/>
          <w:iCs w:val="0"/>
          <w:lang w:eastAsia="zh-CN"/>
        </w:rPr>
        <w:t>★投标人在中国农业发展银行广东省分行营业部（含下属支行）开设基本账户或一般存款账户的证明文件</w:t>
      </w:r>
      <w:bookmarkEnd w:id="6"/>
    </w:p>
    <w:p>
      <w:pPr>
        <w:widowControl w:val="0"/>
        <w:spacing w:after="200" w:line="276" w:lineRule="auto"/>
        <w:jc w:val="both"/>
        <w:rPr>
          <w:rFonts w:ascii="宋体" w:hAnsi="宋体" w:cs="宋体"/>
          <w:sz w:val="21"/>
          <w:szCs w:val="21"/>
          <w:lang w:eastAsia="zh-CN"/>
        </w:rPr>
      </w:pPr>
    </w:p>
    <w:p>
      <w:pPr>
        <w:widowControl w:val="0"/>
        <w:rPr>
          <w:rFonts w:ascii="宋体" w:hAnsi="宋体" w:cs="宋体"/>
          <w:sz w:val="21"/>
          <w:szCs w:val="21"/>
          <w:lang w:eastAsia="zh-CN"/>
        </w:rPr>
        <w:sectPr>
          <w:pgSz w:w="12240" w:h="15840"/>
          <w:pgMar w:top="1440" w:right="1800" w:bottom="1440" w:left="1800" w:header="720" w:footer="720" w:gutter="0"/>
          <w:cols w:space="720" w:num="1"/>
        </w:sectPr>
      </w:pPr>
      <w:r>
        <w:rPr>
          <w:rFonts w:ascii="宋体" w:hAnsi="宋体" w:cs="宋体"/>
          <w:sz w:val="21"/>
          <w:szCs w:val="21"/>
          <w:lang w:eastAsia="zh-CN"/>
        </w:rPr>
        <w:t>（请提供相关证明）</w:t>
      </w:r>
    </w:p>
    <w:p>
      <w:pPr>
        <w:pStyle w:val="4"/>
        <w:keepNext w:val="0"/>
        <w:spacing w:before="75" w:after="75" w:line="480" w:lineRule="atLeast"/>
        <w:jc w:val="center"/>
        <w:rPr>
          <w:rFonts w:ascii="宋体" w:hAnsi="宋体" w:eastAsia="宋体" w:cs="宋体"/>
          <w:lang w:eastAsia="zh-CN"/>
        </w:rPr>
      </w:pPr>
      <w:bookmarkStart w:id="7" w:name="_Toc96953574"/>
      <w:r>
        <w:rPr>
          <w:rFonts w:ascii="宋体" w:hAnsi="宋体" w:eastAsia="宋体" w:cs="宋体"/>
          <w:iCs w:val="0"/>
          <w:lang w:eastAsia="zh-CN"/>
        </w:rPr>
        <w:t>★投标人在中国农业发展银行信用等级达到BBB+级或以上的证明</w:t>
      </w:r>
      <w:bookmarkEnd w:id="7"/>
    </w:p>
    <w:p>
      <w:pPr>
        <w:widowControl w:val="0"/>
        <w:spacing w:after="200" w:line="360" w:lineRule="auto"/>
        <w:jc w:val="center"/>
        <w:rPr>
          <w:rFonts w:ascii="宋体" w:hAnsi="宋体" w:cs="宋体"/>
          <w:sz w:val="28"/>
          <w:szCs w:val="28"/>
          <w:lang w:eastAsia="zh-CN"/>
        </w:rPr>
      </w:pPr>
    </w:p>
    <w:p>
      <w:pPr>
        <w:widowControl w:val="0"/>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（提供中国农业发展银行分支机构出具的相关证明）</w:t>
      </w:r>
    </w:p>
    <w:p>
      <w:pPr>
        <w:pStyle w:val="4"/>
        <w:keepNext w:val="0"/>
        <w:spacing w:before="75" w:after="75" w:line="480" w:lineRule="atLeast"/>
        <w:jc w:val="center"/>
        <w:rPr>
          <w:rFonts w:ascii="宋体" w:hAnsi="宋体" w:eastAsia="宋体" w:cs="宋体"/>
          <w:lang w:eastAsia="zh-CN"/>
        </w:rPr>
      </w:pPr>
      <w:bookmarkStart w:id="8" w:name="_Toc96953577"/>
      <w:r>
        <w:rPr>
          <w:rFonts w:ascii="宋体" w:hAnsi="宋体" w:eastAsia="宋体" w:cs="宋体"/>
          <w:iCs w:val="0"/>
          <w:lang w:eastAsia="zh-CN"/>
        </w:rPr>
        <w:t>公平竞争承诺书</w:t>
      </w:r>
      <w:bookmarkEnd w:id="8"/>
    </w:p>
    <w:p>
      <w:pPr>
        <w:widowControl w:val="0"/>
        <w:spacing w:after="200" w:line="276" w:lineRule="auto"/>
        <w:ind w:firstLine="562"/>
        <w:jc w:val="center"/>
        <w:rPr>
          <w:rFonts w:ascii="宋体" w:hAnsi="宋体" w:cs="宋体"/>
          <w:sz w:val="28"/>
          <w:szCs w:val="28"/>
          <w:lang w:eastAsia="zh-CN"/>
        </w:rPr>
      </w:pPr>
    </w:p>
    <w:p>
      <w:pPr>
        <w:widowControl w:val="0"/>
        <w:spacing w:after="200" w:line="276" w:lineRule="auto"/>
        <w:ind w:left="480" w:hanging="480"/>
        <w:jc w:val="both"/>
        <w:rPr>
          <w:rFonts w:ascii="宋体" w:hAnsi="宋体" w:cs="宋体"/>
          <w:lang w:eastAsia="zh-CN"/>
        </w:rPr>
      </w:pPr>
      <w:r>
        <w:rPr>
          <w:rFonts w:ascii="宋体" w:hAnsi="宋体" w:cs="宋体"/>
          <w:b/>
          <w:bCs/>
          <w:spacing w:val="6"/>
          <w:lang w:eastAsia="zh-CN"/>
        </w:rPr>
        <w:t>广州农村产权交易所有限公司：</w:t>
      </w:r>
    </w:p>
    <w:p>
      <w:pPr>
        <w:widowControl w:val="0"/>
        <w:spacing w:after="200" w:line="360" w:lineRule="auto"/>
        <w:ind w:left="300" w:firstLine="480"/>
        <w:jc w:val="both"/>
        <w:rPr>
          <w:rFonts w:ascii="宋体" w:hAnsi="宋体" w:cs="宋体"/>
          <w:lang w:eastAsia="zh-CN"/>
        </w:rPr>
      </w:pPr>
      <w:r>
        <w:rPr>
          <w:rFonts w:ascii="宋体" w:hAnsi="宋体" w:cs="宋体"/>
          <w:spacing w:val="6"/>
          <w:lang w:eastAsia="zh-CN"/>
        </w:rPr>
        <w:t>我方郑重承诺：我方保证所提交的相关资质文件和证明材料的真实性，有良好的历史诚信记录，并将依法参与</w:t>
      </w:r>
      <w:r>
        <w:rPr>
          <w:shd w:val="clear" w:color="auto" w:fill="FFFFFF"/>
          <w:lang w:eastAsia="zh-CN"/>
        </w:rPr>
        <w:t>2022年南沙区本级储备粮（1万吨）承储招标采购项目</w:t>
      </w:r>
      <w:r>
        <w:rPr>
          <w:rFonts w:ascii="宋体" w:hAnsi="宋体" w:cs="宋体"/>
          <w:spacing w:val="6"/>
          <w:lang w:eastAsia="zh-CN"/>
        </w:rPr>
        <w:t>（项目编号：NS2022LS10000</w:t>
      </w:r>
      <w:r>
        <w:rPr>
          <w:rFonts w:hint="eastAsia" w:ascii="宋体" w:hAnsi="宋体" w:cs="宋体"/>
          <w:spacing w:val="6"/>
          <w:lang w:val="en-US" w:eastAsia="zh-CN"/>
        </w:rPr>
        <w:t>3</w:t>
      </w:r>
      <w:r>
        <w:rPr>
          <w:rFonts w:ascii="宋体" w:hAnsi="宋体" w:cs="宋体"/>
          <w:spacing w:val="6"/>
          <w:lang w:eastAsia="zh-CN"/>
        </w:rPr>
        <w:t>）的公平竞争，不以任何不正当行为谋取不当利益，否则承担相应的法律责任。</w:t>
      </w:r>
    </w:p>
    <w:p>
      <w:pPr>
        <w:widowControl w:val="0"/>
        <w:spacing w:after="200" w:line="360" w:lineRule="auto"/>
        <w:ind w:left="300" w:firstLine="480"/>
        <w:jc w:val="both"/>
        <w:rPr>
          <w:rFonts w:ascii="宋体" w:hAnsi="宋体" w:cs="宋体"/>
          <w:lang w:eastAsia="zh-CN"/>
        </w:rPr>
      </w:pPr>
      <w:r>
        <w:rPr>
          <w:rFonts w:ascii="宋体" w:hAnsi="宋体" w:cs="宋体"/>
          <w:spacing w:val="6"/>
          <w:lang w:eastAsia="zh-CN"/>
        </w:rPr>
        <w:t>特此承诺！</w:t>
      </w:r>
    </w:p>
    <w:p>
      <w:pPr>
        <w:widowControl w:val="0"/>
        <w:spacing w:after="200" w:line="360" w:lineRule="auto"/>
        <w:ind w:right="480"/>
        <w:jc w:val="right"/>
        <w:rPr>
          <w:rFonts w:ascii="宋体" w:hAnsi="宋体" w:cs="宋体"/>
          <w:lang w:eastAsia="zh-CN"/>
        </w:rPr>
      </w:pPr>
    </w:p>
    <w:p>
      <w:pPr>
        <w:widowControl w:val="0"/>
        <w:spacing w:after="200" w:line="360" w:lineRule="auto"/>
        <w:ind w:right="480"/>
        <w:jc w:val="right"/>
        <w:rPr>
          <w:rFonts w:ascii="宋体" w:hAnsi="宋体" w:cs="宋体"/>
          <w:lang w:eastAsia="zh-CN"/>
        </w:rPr>
      </w:pPr>
    </w:p>
    <w:p>
      <w:pPr>
        <w:widowControl w:val="0"/>
        <w:spacing w:after="200" w:line="360" w:lineRule="auto"/>
        <w:ind w:right="480"/>
        <w:jc w:val="right"/>
        <w:rPr>
          <w:rFonts w:ascii="宋体" w:hAnsi="宋体" w:cs="宋体"/>
          <w:lang w:eastAsia="zh-CN"/>
        </w:rPr>
      </w:pPr>
    </w:p>
    <w:p>
      <w:pPr>
        <w:widowControl w:val="0"/>
        <w:spacing w:after="200" w:line="360" w:lineRule="auto"/>
        <w:ind w:right="480"/>
        <w:jc w:val="center"/>
        <w:rPr>
          <w:rFonts w:ascii="宋体" w:hAnsi="宋体" w:cs="宋体"/>
          <w:lang w:eastAsia="zh-CN"/>
        </w:rPr>
      </w:pPr>
    </w:p>
    <w:p>
      <w:pPr>
        <w:widowControl w:val="0"/>
        <w:spacing w:after="200" w:line="360" w:lineRule="auto"/>
        <w:ind w:right="480"/>
        <w:jc w:val="center"/>
        <w:rPr>
          <w:rFonts w:ascii="宋体" w:hAnsi="宋体" w:cs="宋体"/>
          <w:lang w:eastAsia="zh-CN"/>
        </w:rPr>
      </w:pPr>
    </w:p>
    <w:p>
      <w:pPr>
        <w:widowControl w:val="0"/>
        <w:spacing w:after="200" w:line="360" w:lineRule="auto"/>
        <w:ind w:left="300" w:firstLine="480"/>
        <w:jc w:val="center"/>
        <w:rPr>
          <w:rFonts w:ascii="宋体" w:hAnsi="宋体" w:cs="宋体"/>
          <w:lang w:eastAsia="zh-CN"/>
        </w:rPr>
      </w:pPr>
      <w:bookmarkStart w:id="9" w:name="_Toc3279_WPSOffice_Level1"/>
      <w:r>
        <w:rPr>
          <w:rFonts w:ascii="宋体" w:hAnsi="宋体" w:cs="宋体"/>
          <w:spacing w:val="6"/>
          <w:lang w:eastAsia="zh-CN"/>
        </w:rPr>
        <w:t>法定代表人/授权代表（签名或盖章）：</w:t>
      </w:r>
      <w:bookmarkEnd w:id="9"/>
    </w:p>
    <w:p>
      <w:pPr>
        <w:widowControl w:val="0"/>
        <w:spacing w:after="200" w:line="360" w:lineRule="auto"/>
        <w:ind w:left="300" w:firstLine="480"/>
        <w:jc w:val="center"/>
        <w:rPr>
          <w:rFonts w:ascii="宋体" w:hAnsi="宋体" w:cs="宋体"/>
          <w:lang w:eastAsia="zh-CN"/>
        </w:rPr>
      </w:pPr>
      <w:r>
        <w:rPr>
          <w:rFonts w:ascii="宋体" w:hAnsi="宋体" w:cs="宋体"/>
          <w:spacing w:val="6"/>
          <w:lang w:eastAsia="zh-CN"/>
        </w:rPr>
        <w:t xml:space="preserve">           </w:t>
      </w:r>
      <w:bookmarkStart w:id="10" w:name="_Toc15298_WPSOffice_Level1"/>
      <w:r>
        <w:rPr>
          <w:rFonts w:ascii="宋体" w:hAnsi="宋体" w:cs="宋体"/>
          <w:spacing w:val="6"/>
          <w:lang w:eastAsia="zh-CN"/>
        </w:rPr>
        <w:t>投标人名称（加盖公章）：</w:t>
      </w:r>
      <w:bookmarkEnd w:id="10"/>
    </w:p>
    <w:p>
      <w:pPr>
        <w:widowControl w:val="0"/>
        <w:spacing w:after="200" w:line="360" w:lineRule="auto"/>
        <w:ind w:left="300" w:firstLine="480"/>
        <w:jc w:val="right"/>
        <w:rPr>
          <w:rFonts w:ascii="宋体" w:hAnsi="宋体" w:cs="宋体"/>
          <w:lang w:eastAsia="zh-CN"/>
        </w:rPr>
      </w:pPr>
    </w:p>
    <w:p>
      <w:pPr>
        <w:widowControl w:val="0"/>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spacing w:val="6"/>
          <w:lang w:eastAsia="zh-CN"/>
        </w:rPr>
        <w:t>日期：  年  月  日</w:t>
      </w:r>
    </w:p>
    <w:p>
      <w:pPr>
        <w:widowControl w:val="0"/>
        <w:jc w:val="right"/>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separate"/>
    </w:r>
    <w:r>
      <w:rPr>
        <w:rFonts w:ascii="宋体" w:hAnsi="宋体" w:eastAsia="宋体" w:cs="宋体"/>
        <w:sz w:val="18"/>
        <w:lang w:eastAsia="zh-CN"/>
      </w:rPr>
      <w:t>74</w: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74</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E56DC"/>
    <w:rsid w:val="21ED5120"/>
    <w:rsid w:val="2F664563"/>
    <w:rsid w:val="376159C5"/>
    <w:rsid w:val="4ECD182A"/>
    <w:rsid w:val="51672D2C"/>
    <w:rsid w:val="51E76548"/>
    <w:rsid w:val="62225C45"/>
    <w:rsid w:val="62617D5B"/>
    <w:rsid w:val="64313A87"/>
    <w:rsid w:val="6908549D"/>
    <w:rsid w:val="6A6A5825"/>
    <w:rsid w:val="6B6538AF"/>
    <w:rsid w:val="6C5C13AB"/>
    <w:rsid w:val="6CEE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pacing w:before="240" w:after="60"/>
      <w:outlineLvl w:val="0"/>
    </w:pPr>
    <w:rPr>
      <w:rFonts w:eastAsia="Times New Roman"/>
      <w:b/>
      <w:bCs/>
      <w:kern w:val="36"/>
      <w:sz w:val="48"/>
      <w:szCs w:val="48"/>
    </w:rPr>
  </w:style>
  <w:style w:type="paragraph" w:styleId="4">
    <w:name w:val="heading 2"/>
    <w:basedOn w:val="1"/>
    <w:next w:val="1"/>
    <w:qFormat/>
    <w:uiPriority w:val="0"/>
    <w:pPr>
      <w:keepNext/>
      <w:spacing w:before="240" w:after="60"/>
      <w:outlineLvl w:val="1"/>
    </w:pPr>
    <w:rPr>
      <w:rFonts w:eastAsia="Times New Roman"/>
      <w:b/>
      <w:bCs/>
      <w:iCs/>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Cs w:val="20"/>
    </w:rPr>
  </w:style>
  <w:style w:type="character" w:customStyle="1" w:styleId="7">
    <w:name w:val="title text indent"/>
    <w:basedOn w:val="6"/>
    <w:qFormat/>
    <w:uiPriority w:val="0"/>
  </w:style>
  <w:style w:type="character" w:customStyle="1" w:styleId="8">
    <w:name w:val="small_title text"/>
    <w:basedOn w:val="6"/>
    <w:qFormat/>
    <w:uiPriority w:val="0"/>
  </w:style>
  <w:style w:type="character" w:customStyle="1" w:styleId="9">
    <w:name w:val="title text"/>
    <w:basedOn w:val="6"/>
    <w:qFormat/>
    <w:uiPriority w:val="0"/>
  </w:style>
  <w:style w:type="paragraph" w:customStyle="1" w:styleId="10">
    <w:name w:val="DocDefaults"/>
    <w:basedOn w:val="1"/>
    <w:qFormat/>
    <w:uiPriority w:val="0"/>
    <w:pPr>
      <w:spacing w:line="276" w:lineRule="auto"/>
    </w:pPr>
    <w:rPr>
      <w:sz w:val="20"/>
      <w:szCs w:val="20"/>
    </w:rPr>
  </w:style>
  <w:style w:type="character" w:customStyle="1" w:styleId="11">
    <w:name w:val="span_a0"/>
    <w:basedOn w:val="6"/>
    <w:qFormat/>
    <w:uiPriority w:val="0"/>
  </w:style>
  <w:style w:type="character" w:customStyle="1" w:styleId="12">
    <w:name w:val="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2022-03-08T11:20:00Z</dcterms:created>
  <dc:creator>admin</dc:creator>
  <cp:lastModifiedBy>admin</cp:lastModifiedBy>
  <dcterms:modified xsi:type="dcterms:W3CDTF">2022-04-27T01:38:41Z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4C2872B315724AB98439C1D9D7C01807</vt:lpwstr>
  </property>
</Properties>
</file>